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C2095">
      <w:pPr>
        <w:pStyle w:val="4"/>
        <w:widowControl/>
        <w:shd w:val="clear" w:color="auto" w:fill="FFFFFF"/>
        <w:spacing w:before="0" w:after="0" w:line="500" w:lineRule="exact"/>
        <w:jc w:val="center"/>
        <w:rPr>
          <w:rFonts w:hint="eastAsia" w:ascii="黑体" w:hAnsi="黑体" w:eastAsia="黑体" w:cs="黑体"/>
          <w:color w:val="000000"/>
          <w:sz w:val="44"/>
          <w:szCs w:val="44"/>
        </w:rPr>
      </w:pPr>
      <w:r>
        <w:rPr>
          <w:rStyle w:val="19"/>
          <w:rFonts w:hint="eastAsia" w:ascii="黑体" w:hAnsi="黑体" w:eastAsia="黑体" w:cs="黑体"/>
          <w:b w:val="0"/>
          <w:bCs/>
          <w:color w:val="000000"/>
          <w:sz w:val="44"/>
          <w:szCs w:val="44"/>
          <w:shd w:val="clear" w:color="auto" w:fill="FFFFFF"/>
        </w:rPr>
        <w:t>中国文物学会分支机构管理办法</w:t>
      </w:r>
    </w:p>
    <w:p w14:paraId="347AB099">
      <w:pPr>
        <w:pStyle w:val="15"/>
        <w:widowControl/>
        <w:shd w:val="clear" w:color="auto" w:fill="FFFFFF"/>
        <w:spacing w:before="0" w:beforeAutospacing="0" w:after="0" w:afterAutospacing="0" w:line="500" w:lineRule="exact"/>
        <w:jc w:val="center"/>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（2026年9月29日中国文物学会第九届理事会第四次会议</w:t>
      </w:r>
      <w:r>
        <w:rPr>
          <w:rFonts w:hint="eastAsia" w:ascii="仿宋" w:hAnsi="仿宋" w:eastAsia="仿宋" w:cs="仿宋"/>
          <w:color w:val="000000"/>
          <w:sz w:val="32"/>
          <w:szCs w:val="32"/>
          <w:shd w:val="clear" w:color="auto" w:fill="FFFFFF"/>
          <w:lang w:val="en-US" w:eastAsia="zh-CN"/>
        </w:rPr>
        <w:t>审议通过第二次修订</w:t>
      </w:r>
      <w:bookmarkStart w:id="0" w:name="_GoBack"/>
      <w:bookmarkEnd w:id="0"/>
      <w:r>
        <w:rPr>
          <w:rFonts w:hint="eastAsia" w:ascii="仿宋" w:hAnsi="仿宋" w:eastAsia="仿宋" w:cs="仿宋"/>
          <w:color w:val="000000"/>
          <w:sz w:val="32"/>
          <w:szCs w:val="32"/>
          <w:shd w:val="clear" w:color="auto" w:fill="FFFFFF"/>
        </w:rPr>
        <w:t>）</w:t>
      </w:r>
    </w:p>
    <w:p w14:paraId="4CE6D683">
      <w:pPr>
        <w:pStyle w:val="15"/>
        <w:widowControl/>
        <w:shd w:val="clear" w:color="auto" w:fill="FFFFFF"/>
        <w:spacing w:before="0" w:beforeAutospacing="0" w:after="0" w:afterAutospacing="0" w:line="500" w:lineRule="exact"/>
        <w:jc w:val="center"/>
        <w:rPr>
          <w:rFonts w:hint="eastAsia" w:ascii="仿宋" w:hAnsi="仿宋" w:eastAsia="仿宋" w:cs="仿宋"/>
          <w:color w:val="000000"/>
          <w:sz w:val="32"/>
          <w:szCs w:val="32"/>
          <w:shd w:val="clear" w:color="auto" w:fill="FFFFFF"/>
        </w:rPr>
      </w:pPr>
    </w:p>
    <w:p w14:paraId="4A36FB97">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lang w:val="en-US" w:eastAsia="zh-CN"/>
        </w:rPr>
        <w:t xml:space="preserve">第一条 </w:t>
      </w:r>
      <w:r>
        <w:rPr>
          <w:rFonts w:hint="eastAsia" w:ascii="仿宋" w:hAnsi="仿宋" w:eastAsia="仿宋" w:cs="仿宋"/>
          <w:color w:val="000000"/>
          <w:sz w:val="32"/>
          <w:szCs w:val="32"/>
          <w:shd w:val="clear" w:color="auto" w:fill="FFFFFF"/>
        </w:rPr>
        <w:t>为加强对中国文物学会分支机构的管理，根据《社会团体登记管理条例》，民政部《社会团体分支机构、代表机构管理办法》，以及《中国文物学会章程》（以下简称</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lang w:val="en-US" w:eastAsia="zh-CN"/>
        </w:rPr>
        <w:t>学会</w:t>
      </w:r>
      <w:r>
        <w:rPr>
          <w:rFonts w:hint="eastAsia" w:ascii="仿宋" w:hAnsi="仿宋" w:eastAsia="仿宋" w:cs="仿宋"/>
          <w:color w:val="000000"/>
          <w:sz w:val="32"/>
          <w:szCs w:val="32"/>
          <w:shd w:val="clear" w:color="auto" w:fill="FFFFFF"/>
        </w:rPr>
        <w:t>章程</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）等，制定本办法。</w:t>
      </w:r>
    </w:p>
    <w:p w14:paraId="5C863774">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第二条</w:t>
      </w:r>
      <w:r>
        <w:rPr>
          <w:rFonts w:hint="eastAsia" w:ascii="仿宋" w:hAnsi="仿宋" w:eastAsia="仿宋" w:cs="仿宋"/>
          <w:color w:val="000000"/>
          <w:sz w:val="32"/>
          <w:szCs w:val="32"/>
          <w:shd w:val="clear" w:color="auto" w:fill="FFFFFF"/>
          <w:lang w:val="en-US" w:eastAsia="zh-CN"/>
        </w:rPr>
        <w:t xml:space="preserve"> </w:t>
      </w:r>
      <w:r>
        <w:rPr>
          <w:rFonts w:hint="eastAsia" w:ascii="仿宋" w:hAnsi="仿宋" w:eastAsia="仿宋" w:cs="仿宋"/>
          <w:color w:val="000000"/>
          <w:sz w:val="32"/>
          <w:szCs w:val="32"/>
          <w:shd w:val="clear" w:color="auto" w:fill="FFFFFF"/>
        </w:rPr>
        <w:t>学会分支机构，是按照学会章程规定，根据工作需要、依据业务划分设立的专业机构，在学会领导下开展工作。</w:t>
      </w:r>
    </w:p>
    <w:p w14:paraId="240A31F6">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分支机构应当坚持中国共产党的全面领导，践行社会主义核心价值观，弘扬爱国主义精神，遵守法律法规、国家政策和社会道德风尚，自觉加强诚信自律建设。符合成立党组织条件的，应当根据《中国共产党章程》的规定成立党组织；不符合成立党组织条件的，应当按要求开展党的工作。</w:t>
      </w:r>
    </w:p>
    <w:p w14:paraId="362B7585">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第三条 设立分支机构应当符合学会章程规定的宗旨和业务范围，具备工作规则、领导班子、会员队伍和开展活动的基本条件。分支机构成立时应当不少于6个单位会员或者20名个人会员。</w:t>
      </w:r>
    </w:p>
    <w:p w14:paraId="3C485046">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第四条 分支机构是学会的组成部分，不具有法人资格。分支机构的命名应当为“中国文物学会XXXX专业委员会”。不得在分支机构名称中冠以“中国”“中华”“全国”“国家”等字样，不得以“中心”“联盟”“研究会”“促进会”“研究院”等各类法人、非法人组织的名称命名。分支机构开展活动应当使用“中国文物学会XXXX专业委员会”的规范全称。</w:t>
      </w:r>
    </w:p>
    <w:p w14:paraId="3D3C68EB">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学会不设立地域性分支机构、会员明显重合以及名称业务范围相同或者高度相似的分支机构，不设立与学会宗旨和业务范围无关的分支机构，不设立涉及军事领域的分支机构。分支机构不得下设三级机构。</w:t>
      </w:r>
    </w:p>
    <w:p w14:paraId="5191D0E4">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第五条 分支机构的设立，须征求学会党支部意见，并征得业务主管单位同意后，提交理事会或者常务理事会以无记名投票方式表决，并向社会公开。</w:t>
      </w:r>
    </w:p>
    <w:p w14:paraId="6207ACA4">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设立分支机构应当由发起单位或者发起人提交申请书、工作规则草案、拟任负责人（含主任委员、副主任委员）备案登记表、相关成员的会员证件、固定的办公场所联系地址和工作人员联系方式等材料，送交学会秘书处审核。拟任分支机构负责人涉及干部管理权限审批或者备案的，应当按照有关规定办理相关手续。</w:t>
      </w:r>
    </w:p>
    <w:p w14:paraId="5B770C68">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第六条 变更、撤销分支机构，由学会理事会</w:t>
      </w:r>
      <w:r>
        <w:rPr>
          <w:rFonts w:hint="eastAsia" w:ascii="仿宋" w:hAnsi="仿宋" w:eastAsia="仿宋" w:cs="仿宋"/>
          <w:color w:val="000000"/>
          <w:sz w:val="32"/>
          <w:szCs w:val="32"/>
          <w:shd w:val="clear" w:color="auto" w:fill="FFFFFF"/>
          <w:lang w:val="en-US" w:eastAsia="zh-CN"/>
        </w:rPr>
        <w:t>或者常务理事会</w:t>
      </w:r>
      <w:r>
        <w:rPr>
          <w:rFonts w:hint="eastAsia" w:ascii="仿宋" w:hAnsi="仿宋" w:eastAsia="仿宋" w:cs="仿宋"/>
          <w:color w:val="000000"/>
          <w:sz w:val="32"/>
          <w:szCs w:val="32"/>
          <w:shd w:val="clear" w:color="auto" w:fill="FFFFFF"/>
        </w:rPr>
        <w:t>研究决定，制作会议纪要，印发通知实施，及时报告业务主管单位并向社会公告。</w:t>
      </w:r>
    </w:p>
    <w:p w14:paraId="0123E327">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分支机构必须执行学会理事会、常务理事会的决定。分支机构对决定如有异议，可以书面申请改变；但学会理事会、常务理事会坚持既有决定时，分支机构必须执行决定。</w:t>
      </w:r>
    </w:p>
    <w:p w14:paraId="79028B9A">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第七条 分支机构有下列情形之一的，学会将依照章程履行撤销程序：</w:t>
      </w:r>
    </w:p>
    <w:p w14:paraId="71B29D43">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（一）完成设立目标任务或者交办事项，没有继续存在必要；</w:t>
      </w:r>
    </w:p>
    <w:p w14:paraId="6C47F92A">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（二）因合并或者分立需要撤销；</w:t>
      </w:r>
    </w:p>
    <w:p w14:paraId="202EBAC5">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（三）不能履行业务职责、违反规定造成严重后果；内部管理混乱且不能有效整改；连续2年未开展活动；</w:t>
      </w:r>
    </w:p>
    <w:p w14:paraId="3BBFCA71">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（四）拒不服从学会管理；</w:t>
      </w:r>
    </w:p>
    <w:p w14:paraId="47C637B4">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（五）与非法社会组织开展合作；</w:t>
      </w:r>
    </w:p>
    <w:p w14:paraId="1A53C863">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（六）违反国家有关规定造成严重影响；</w:t>
      </w:r>
    </w:p>
    <w:p w14:paraId="53D6F85B">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（七）应当撤销的其他情形。</w:t>
      </w:r>
    </w:p>
    <w:p w14:paraId="58CDFBD3">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第八条 分支机构应当遵守学会章程，不得另行制定章程。分支机构应当结合实际制定工作规则,明确必要的业务范围及办事程序；工作规则报学会审核同意后施行。</w:t>
      </w:r>
    </w:p>
    <w:p w14:paraId="399E8A75">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第九条 分支机构应当健全领导班子。分支机构主任委员一般由学会理事或者秘书处相关负责人担任。分支机构领导班子由1名主任委员、最多6名副主任委员组成，其中应有1名常务副主任委员负责日常工作，不设秘书长。分支机构负责人一般不得同时担任学会其他分支机构负责人。</w:t>
      </w:r>
    </w:p>
    <w:p w14:paraId="43DA7AA9">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分支机构负责人一般由学会负责人推荐，经秘书处考察审核，并征求学会党支部意见后，提交理事会或者常务理事会表决通过。</w:t>
      </w:r>
    </w:p>
    <w:p w14:paraId="2FA074F8">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分支机构领导班子每届任期5年；领导班子成员在不超过最高任职年龄的情况下，可以连选连任，最多不得超过两届，非领导干部的专家学者可以适当延长任职届数。理事会或者常务理事会有权任命、免去、撤销分支机构负责人的职务。</w:t>
      </w:r>
    </w:p>
    <w:p w14:paraId="39B42430">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分支机构委员会由分支机构负责人和委员组成，作为分支机构的议事决策机构，承担决定重要事项等职责。分支机构可以设置相关办事岗位。</w:t>
      </w:r>
    </w:p>
    <w:p w14:paraId="4EDD13F6">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第十条 分支机构负责人任职条件为：</w:t>
      </w:r>
    </w:p>
    <w:p w14:paraId="1253ABFF">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lang w:eastAsia="zh-CN"/>
        </w:rPr>
      </w:pPr>
      <w:r>
        <w:rPr>
          <w:rFonts w:hint="eastAsia" w:ascii="仿宋" w:hAnsi="仿宋" w:eastAsia="仿宋" w:cs="仿宋"/>
          <w:color w:val="000000"/>
          <w:sz w:val="32"/>
          <w:szCs w:val="32"/>
          <w:shd w:val="clear" w:color="auto" w:fill="FFFFFF"/>
        </w:rPr>
        <w:t>（一）坚持党的路线、方针、政策，政治素质好</w:t>
      </w:r>
      <w:r>
        <w:rPr>
          <w:rFonts w:hint="eastAsia" w:ascii="仿宋" w:hAnsi="仿宋" w:eastAsia="仿宋" w:cs="仿宋"/>
          <w:color w:val="000000"/>
          <w:sz w:val="32"/>
          <w:szCs w:val="32"/>
          <w:shd w:val="clear" w:color="auto" w:fill="FFFFFF"/>
          <w:lang w:eastAsia="zh-CN"/>
        </w:rPr>
        <w:t>；</w:t>
      </w:r>
    </w:p>
    <w:p w14:paraId="2EFA1122">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lang w:eastAsia="zh-CN"/>
        </w:rPr>
      </w:pPr>
      <w:r>
        <w:rPr>
          <w:rFonts w:hint="eastAsia" w:ascii="仿宋" w:hAnsi="仿宋" w:eastAsia="仿宋" w:cs="仿宋"/>
          <w:color w:val="000000"/>
          <w:sz w:val="32"/>
          <w:szCs w:val="32"/>
          <w:shd w:val="clear" w:color="auto" w:fill="FFFFFF"/>
        </w:rPr>
        <w:t>（二）在文物、博物馆及相关领域具有专业素养、学术成就和较大影响</w:t>
      </w:r>
      <w:r>
        <w:rPr>
          <w:rFonts w:hint="eastAsia" w:ascii="仿宋" w:hAnsi="仿宋" w:eastAsia="仿宋" w:cs="仿宋"/>
          <w:color w:val="000000"/>
          <w:sz w:val="32"/>
          <w:szCs w:val="32"/>
          <w:shd w:val="clear" w:color="auto" w:fill="FFFFFF"/>
          <w:lang w:eastAsia="zh-CN"/>
        </w:rPr>
        <w:t>；</w:t>
      </w:r>
    </w:p>
    <w:p w14:paraId="4A70015E">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lang w:eastAsia="zh-CN"/>
        </w:rPr>
      </w:pPr>
      <w:r>
        <w:rPr>
          <w:rFonts w:hint="eastAsia" w:ascii="仿宋" w:hAnsi="仿宋" w:eastAsia="仿宋" w:cs="仿宋"/>
          <w:color w:val="000000"/>
          <w:sz w:val="32"/>
          <w:szCs w:val="32"/>
          <w:shd w:val="clear" w:color="auto" w:fill="FFFFFF"/>
        </w:rPr>
        <w:t>（</w:t>
      </w:r>
      <w:r>
        <w:rPr>
          <w:rFonts w:hint="eastAsia" w:ascii="仿宋" w:hAnsi="仿宋" w:eastAsia="仿宋" w:cs="仿宋"/>
          <w:color w:val="000000"/>
          <w:sz w:val="32"/>
          <w:szCs w:val="32"/>
          <w:shd w:val="clear" w:color="auto" w:fill="FFFFFF"/>
          <w:lang w:val="en-US" w:eastAsia="zh-CN"/>
        </w:rPr>
        <w:t>三</w:t>
      </w:r>
      <w:r>
        <w:rPr>
          <w:rFonts w:hint="eastAsia" w:ascii="仿宋" w:hAnsi="仿宋" w:eastAsia="仿宋" w:cs="仿宋"/>
          <w:color w:val="000000"/>
          <w:sz w:val="32"/>
          <w:szCs w:val="32"/>
          <w:shd w:val="clear" w:color="auto" w:fill="FFFFFF"/>
        </w:rPr>
        <w:t>）</w:t>
      </w:r>
      <w:r>
        <w:rPr>
          <w:rFonts w:hint="eastAsia" w:ascii="仿宋" w:hAnsi="仿宋" w:eastAsia="仿宋" w:cs="仿宋"/>
          <w:color w:val="000000"/>
          <w:sz w:val="32"/>
          <w:szCs w:val="32"/>
          <w:shd w:val="clear" w:color="auto" w:fill="FFFFFF"/>
          <w:lang w:val="en-US" w:eastAsia="zh-CN"/>
        </w:rPr>
        <w:t>年</w:t>
      </w:r>
      <w:r>
        <w:rPr>
          <w:rFonts w:hint="eastAsia" w:ascii="仿宋" w:hAnsi="仿宋" w:eastAsia="仿宋" w:cs="仿宋"/>
          <w:color w:val="000000"/>
          <w:sz w:val="32"/>
          <w:szCs w:val="32"/>
          <w:shd w:val="clear" w:color="auto" w:fill="FFFFFF"/>
        </w:rPr>
        <w:t>龄不超过70周岁。退休的领导干部应当严格依照组织人事部门的有关规定，履行报审或者备案程序；非领导干部中具有研究员（或者相当职级）专业技术职称的专家或者知名专家，任职年龄可以适当放宽</w:t>
      </w:r>
      <w:r>
        <w:rPr>
          <w:rFonts w:hint="eastAsia" w:ascii="仿宋" w:hAnsi="仿宋" w:eastAsia="仿宋" w:cs="仿宋"/>
          <w:color w:val="000000"/>
          <w:sz w:val="32"/>
          <w:szCs w:val="32"/>
          <w:shd w:val="clear" w:color="auto" w:fill="FFFFFF"/>
          <w:lang w:eastAsia="zh-CN"/>
        </w:rPr>
        <w:t>；</w:t>
      </w:r>
    </w:p>
    <w:p w14:paraId="45F15FF2">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lang w:eastAsia="zh-CN"/>
        </w:rPr>
      </w:pPr>
      <w:r>
        <w:rPr>
          <w:rFonts w:hint="eastAsia" w:ascii="仿宋" w:hAnsi="仿宋" w:eastAsia="仿宋" w:cs="仿宋"/>
          <w:color w:val="000000"/>
          <w:sz w:val="32"/>
          <w:szCs w:val="32"/>
          <w:shd w:val="clear" w:color="auto" w:fill="FFFFFF"/>
        </w:rPr>
        <w:t>（</w:t>
      </w:r>
      <w:r>
        <w:rPr>
          <w:rFonts w:hint="eastAsia" w:ascii="仿宋" w:hAnsi="仿宋" w:eastAsia="仿宋" w:cs="仿宋"/>
          <w:color w:val="000000"/>
          <w:sz w:val="32"/>
          <w:szCs w:val="32"/>
          <w:shd w:val="clear" w:color="auto" w:fill="FFFFFF"/>
          <w:lang w:val="en-US" w:eastAsia="zh-CN"/>
        </w:rPr>
        <w:t>四</w:t>
      </w:r>
      <w:r>
        <w:rPr>
          <w:rFonts w:hint="eastAsia" w:ascii="仿宋" w:hAnsi="仿宋" w:eastAsia="仿宋" w:cs="仿宋"/>
          <w:color w:val="000000"/>
          <w:sz w:val="32"/>
          <w:szCs w:val="32"/>
          <w:shd w:val="clear" w:color="auto" w:fill="FFFFFF"/>
        </w:rPr>
        <w:t>）身体健康，能坚持正常工作</w:t>
      </w:r>
      <w:r>
        <w:rPr>
          <w:rFonts w:hint="eastAsia" w:ascii="仿宋" w:hAnsi="仿宋" w:eastAsia="仿宋" w:cs="仿宋"/>
          <w:color w:val="000000"/>
          <w:sz w:val="32"/>
          <w:szCs w:val="32"/>
          <w:shd w:val="clear" w:color="auto" w:fill="FFFFFF"/>
          <w:lang w:eastAsia="zh-CN"/>
        </w:rPr>
        <w:t>；</w:t>
      </w:r>
    </w:p>
    <w:p w14:paraId="57FA96DD">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lang w:eastAsia="zh-CN"/>
        </w:rPr>
      </w:pPr>
      <w:r>
        <w:rPr>
          <w:rFonts w:hint="eastAsia" w:ascii="仿宋" w:hAnsi="仿宋" w:eastAsia="仿宋" w:cs="仿宋"/>
          <w:color w:val="000000"/>
          <w:sz w:val="32"/>
          <w:szCs w:val="32"/>
          <w:shd w:val="clear" w:color="auto" w:fill="FFFFFF"/>
        </w:rPr>
        <w:t>（五）未受过剥夺政治权利的刑事处罚；没有法律法规禁止任职的其他情形</w:t>
      </w:r>
      <w:r>
        <w:rPr>
          <w:rFonts w:hint="eastAsia" w:ascii="仿宋" w:hAnsi="仿宋" w:eastAsia="仿宋" w:cs="仿宋"/>
          <w:color w:val="000000"/>
          <w:sz w:val="32"/>
          <w:szCs w:val="32"/>
          <w:shd w:val="clear" w:color="auto" w:fill="FFFFFF"/>
          <w:lang w:eastAsia="zh-CN"/>
        </w:rPr>
        <w:t>；</w:t>
      </w:r>
    </w:p>
    <w:p w14:paraId="437A6EDB">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（六）具有完全民事行为能力。</w:t>
      </w:r>
    </w:p>
    <w:p w14:paraId="4AFBA7D7">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第十一条 学会在分支机构年度考核工作中，建立健全分支机构主要负责人年度工作述职和考核评价制度。</w:t>
      </w:r>
    </w:p>
    <w:p w14:paraId="3362CC9B">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第十二条 按照民政部规定分支机构“发展的会员属于该社会团体的会员，其收取的会费属于该社会团体”的原则，分支机构发展会员由学会统一审批。</w:t>
      </w:r>
    </w:p>
    <w:p w14:paraId="7050268E">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分支机构在学会章程规定的业务范围内受理单位会员和个人会员入会申请，报请学会统一审批后，督促会员缴纳会费，由学会统一制发会员</w:t>
      </w:r>
      <w:r>
        <w:rPr>
          <w:rFonts w:hint="eastAsia" w:ascii="仿宋" w:hAnsi="仿宋" w:eastAsia="仿宋" w:cs="仿宋"/>
          <w:color w:val="000000"/>
          <w:sz w:val="32"/>
          <w:szCs w:val="32"/>
          <w:shd w:val="clear" w:color="auto" w:fill="FFFFFF"/>
          <w:lang w:val="en-US" w:eastAsia="zh-CN"/>
        </w:rPr>
        <w:t>证件</w:t>
      </w:r>
      <w:r>
        <w:rPr>
          <w:rFonts w:hint="eastAsia" w:ascii="仿宋" w:hAnsi="仿宋" w:eastAsia="仿宋" w:cs="仿宋"/>
          <w:color w:val="000000"/>
          <w:sz w:val="32"/>
          <w:szCs w:val="32"/>
          <w:shd w:val="clear" w:color="auto" w:fill="FFFFFF"/>
        </w:rPr>
        <w:t>，分支机构不得自行制作发放会员证件。</w:t>
      </w:r>
    </w:p>
    <w:p w14:paraId="4DE40408">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第十三条 分支机构应当在学会章程规定的业务范围内，每年至少开展一次以业务研讨和学术交流为主要内容的专业活动，活动主题设置不得超出分支机构职责范围，并注重质量和实效，做到围绕中心、服务大局，规模适度、经费合理。活动名称应当准确规范、名实相符，不得冠以“中国”“中华”“全国”“国际”“世界”“峰会”“高端”“高峰”等高规格名号。</w:t>
      </w:r>
    </w:p>
    <w:p w14:paraId="3F7B76DB">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分支机构每年第一季度向学会报送上一年度工作总结和本年度工作计划。涉及举办论坛活动的，应当于每年12月份报送下一年度论坛活动清单。</w:t>
      </w:r>
    </w:p>
    <w:p w14:paraId="7E8B8220">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分支机构筹办活动时，应当提前1个月填写备案表，交由学会审核后，报请业务主管单位备案。活动结束后1个月内，应当向学会报送小结、宣传报道、有关资料和照片。</w:t>
      </w:r>
    </w:p>
    <w:p w14:paraId="490C0C45">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第十四条 分支机构必须严格遵守政治纪律和政治规矩。举办活动应当坚持正确政治导向，维护意识形态安全。编印图书、期刊、内部交流材料等</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应当符合相关法律法规和政策规定，内容应当限于分支机构业务范围，报送学会备案。分支机构不得自行设立网站、微信公众号等，需要公开的信息统一在学会网站发布。</w:t>
      </w:r>
    </w:p>
    <w:p w14:paraId="6282CDAF">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第十五条 分支机构开展活动不得有以下行为：</w:t>
      </w:r>
    </w:p>
    <w:p w14:paraId="3E80ACDB">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（一）超出学会章程规定的宗旨和业务范围开展活动；</w:t>
      </w:r>
    </w:p>
    <w:p w14:paraId="71D13179">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（二）面向社会开展评比表彰活动，与非法社会组织勾连，参与文物鉴定、拍卖、流通等活动,开展涉及军事领域的活动；</w:t>
      </w:r>
    </w:p>
    <w:p w14:paraId="2590A920">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（三）将自身业务活动委托给学会或者分支机构负责人直接利益相关的组织或者个人承办；</w:t>
      </w:r>
    </w:p>
    <w:p w14:paraId="39B4F915">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（四）违规或者变相违规收费；</w:t>
      </w:r>
    </w:p>
    <w:p w14:paraId="6EC466E7">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（五）将举办各类活动所取得的收入转移或者变相转移进入其他组织和个人账户；</w:t>
      </w:r>
    </w:p>
    <w:p w14:paraId="7FACA8AC">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（六）未经授权或者批准，以业务主管单位或者行业管理部门等名义开展活动；</w:t>
      </w:r>
    </w:p>
    <w:p w14:paraId="1DCFB8F6">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（七）违反国家有关规定的其他行为。</w:t>
      </w:r>
    </w:p>
    <w:p w14:paraId="196916CC">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第十六条 分支机构发展会员或者开展活动，内容及参加人员涉及境外（含港澳台地区）组织及个人的，必须经由学会核报业务主管单位审批后方可实施。未经批准，不得擅自发展外籍或者港澳台单位会员</w:t>
      </w:r>
      <w:r>
        <w:rPr>
          <w:rFonts w:hint="eastAsia" w:ascii="仿宋" w:hAnsi="仿宋" w:eastAsia="仿宋" w:cs="仿宋"/>
          <w:color w:val="000000"/>
          <w:sz w:val="32"/>
          <w:szCs w:val="32"/>
          <w:shd w:val="clear" w:color="auto" w:fill="FFFFFF"/>
          <w:lang w:val="en-US" w:eastAsia="zh-CN"/>
        </w:rPr>
        <w:t>和</w:t>
      </w:r>
      <w:r>
        <w:rPr>
          <w:rFonts w:hint="eastAsia" w:ascii="仿宋" w:hAnsi="仿宋" w:eastAsia="仿宋" w:cs="仿宋"/>
          <w:color w:val="000000"/>
          <w:sz w:val="32"/>
          <w:szCs w:val="32"/>
          <w:shd w:val="clear" w:color="auto" w:fill="FFFFFF"/>
        </w:rPr>
        <w:t>个人会员，不得擅自以分支机构名义与境外（含港澳台地区）组织及个人签订合同、合作举办活动，不得擅自以分支机构名义邀请境外（含港澳台地区）组织及个人参加学会或者分支机构举办的活动。</w:t>
      </w:r>
    </w:p>
    <w:p w14:paraId="6F9C5411">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第十七条 分支机构开展活动应当使用学会印章。分支机构公章仅限在学会内部使用，未经学会授权或者批准不得对外使用。经学会同意授权或者批准分支机构签署的合同，应当在签署后5个工作日内报送学会存档。无论何种情况，分支机构都不得对外签署合作经营、资金借贷、募集捐助、联合集资等合同。</w:t>
      </w:r>
    </w:p>
    <w:p w14:paraId="7E586498">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分支机构使用印章，应当明确审批程序，并按要求填写和妥善保管使用记录。</w:t>
      </w:r>
    </w:p>
    <w:p w14:paraId="4D31D6FB">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第十八条 学会秘书处应当配备相应的工作人员，具体承担分支机构的管理、服务和联络工作。学会监事应当对分支机构设立、名称变更和撤销情况，以及负责人履职、业务活动开展、接受捐赠和受赠财产管理使用、财务收支等情况进行监督。</w:t>
      </w:r>
    </w:p>
    <w:p w14:paraId="5B5206B6">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第十九条 分支机构应当遵循学会财务统一管理、分级使用的原则，不得自行设立财务账户，全部收支应当纳入学会财务统一核算、管理，不得计入其他单位、组织或者个人账户。筹集活动经费必须符合法律法规和政策规定，且仅限于活动筹办所需。分支机构经费收支应当符合《中国文物学会经费收支管理办法》规定，日常经费支出须由主任委员批准同意；非日常经费支出，应当事前提交用款计划，报经学会批准后方可支出。</w:t>
      </w:r>
    </w:p>
    <w:p w14:paraId="74D85BBD">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第二十条 分支机构应当按照学会规定的会费标准组织会员缴纳会费。会费由学会统一收取，统一出具民政部制发的会费收据，统一核算管理。分支机构不得单独制定会费标准，不得截留会费收入。分支机构最多可以使用该分支机构会员所缴纳会费的80%，用于开展工作和活动。</w:t>
      </w:r>
    </w:p>
    <w:p w14:paraId="2B4469E2">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第二十一条</w:t>
      </w:r>
      <w:r>
        <w:rPr>
          <w:rFonts w:hint="eastAsia" w:ascii="仿宋" w:hAnsi="仿宋" w:eastAsia="仿宋" w:cs="仿宋"/>
          <w:color w:val="000000"/>
          <w:sz w:val="32"/>
          <w:szCs w:val="32"/>
          <w:shd w:val="clear" w:color="auto" w:fill="FFFFFF"/>
          <w:lang w:val="en-US" w:eastAsia="zh-CN"/>
        </w:rPr>
        <w:t xml:space="preserve"> </w:t>
      </w:r>
      <w:r>
        <w:rPr>
          <w:rFonts w:hint="eastAsia" w:ascii="仿宋" w:hAnsi="仿宋" w:eastAsia="仿宋" w:cs="仿宋"/>
          <w:color w:val="000000"/>
          <w:sz w:val="32"/>
          <w:szCs w:val="32"/>
          <w:shd w:val="clear" w:color="auto" w:fill="FFFFFF"/>
        </w:rPr>
        <w:t>分支机构应当根据学会的授权接受捐赠，不得擅自签订捐赠协议，不得擅自改变受赠财产的用途，不得私分、挪用、截留或者侵占受赠财产。</w:t>
      </w:r>
    </w:p>
    <w:p w14:paraId="7A9EBF44">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分支机构接受捐赠收入，必须符合学会章程规定和业务范围，捐赠收入应当缴入学会账户统一核算、统一管理、统一出具法定票据。按照《中国文物学会经费收支管理办法》规定，学会按照超额累进的方法计算留取学会发展保障费用（依照合同约定与实际到账金额计留）；分支机构应当按照与捐赠人、赞助人约定的内容、方式、期限和合法的途径使用经费。</w:t>
      </w:r>
    </w:p>
    <w:p w14:paraId="371C8E70">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分支机构接受捐赠收入，不得变相买卖分支机构负责人职务资格。</w:t>
      </w:r>
    </w:p>
    <w:p w14:paraId="5D91268B">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第二十二条 分支机构通过开展课题研究、学术交流、培训咨询、展览服务等业务活动所获得的收入，统一缴由学会管理。学会出具法定发票、依法纳税。学会可以调配使用税后金额的20%，用于加强对分支机构的服务管理。</w:t>
      </w:r>
    </w:p>
    <w:p w14:paraId="248083C1">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第二十三条 根据登记管理机关和业务主管单位的规定，分支机构应当自觉向学会报送有关材料，实行信息公开，接受社会监督。</w:t>
      </w:r>
    </w:p>
    <w:p w14:paraId="714B541C">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分支机构应当按照《中国文物学会分支机构年度考核办法》规定，自觉接受学会组织的年度考核。</w:t>
      </w:r>
    </w:p>
    <w:p w14:paraId="71E69D92">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第二十四条 学会加强对分支机构的管理监督。对于违反学会章程及本办法的规定，造成工作损失或不良影响的，学会给予批评、要求改正。对于不能履行业务职责、违反规定造成严重后果、内部管理混乱且不能有效整改；连续2年未开展活动；拒不服从学会领导、管理和监督的分支机构，予以撤销并向社会公告。</w:t>
      </w:r>
    </w:p>
    <w:p w14:paraId="3737DD5B">
      <w:pPr>
        <w:pStyle w:val="15"/>
        <w:widowControl/>
        <w:shd w:val="clear" w:color="auto" w:fill="FFFFFF"/>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第二十五条 本办法自2026年9月29日中国文物学会第九届理事会第四次会议通过之日起施行。</w:t>
      </w:r>
    </w:p>
    <w:p w14:paraId="7533B483">
      <w:pPr>
        <w:spacing w:line="500" w:lineRule="exact"/>
        <w:rPr>
          <w:rFonts w:hint="eastAsia" w:ascii="楷体" w:hAnsi="楷体" w:eastAsia="楷体" w:cs="楷体"/>
          <w:sz w:val="32"/>
          <w:szCs w:val="32"/>
        </w:rPr>
      </w:pPr>
    </w:p>
    <w:p w14:paraId="5BA0F83B">
      <w:pPr>
        <w:rPr>
          <w:rFonts w:hint="eastAsia"/>
        </w:rPr>
      </w:pPr>
    </w:p>
    <w:p w14:paraId="307EE06A">
      <w:pPr>
        <w:rPr>
          <w:rFonts w:hint="eastAsia"/>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70604820"/>
      <w:docPartObj>
        <w:docPartGallery w:val="autotext"/>
      </w:docPartObj>
    </w:sdtPr>
    <w:sdtContent>
      <w:p w14:paraId="335C5159">
        <w:pPr>
          <w:pStyle w:val="12"/>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356749A8">
    <w:pPr>
      <w:pStyle w:val="12"/>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730"/>
    <w:rsid w:val="00196C54"/>
    <w:rsid w:val="002802CA"/>
    <w:rsid w:val="002B4AEF"/>
    <w:rsid w:val="003965F1"/>
    <w:rsid w:val="00451563"/>
    <w:rsid w:val="00454211"/>
    <w:rsid w:val="00553E53"/>
    <w:rsid w:val="005B651C"/>
    <w:rsid w:val="005E3FBB"/>
    <w:rsid w:val="00604CCC"/>
    <w:rsid w:val="00672C2E"/>
    <w:rsid w:val="00702D63"/>
    <w:rsid w:val="00731730"/>
    <w:rsid w:val="007A5439"/>
    <w:rsid w:val="007B39F4"/>
    <w:rsid w:val="007C483B"/>
    <w:rsid w:val="007E4DCF"/>
    <w:rsid w:val="007F47F0"/>
    <w:rsid w:val="00826D48"/>
    <w:rsid w:val="008A4AC7"/>
    <w:rsid w:val="00971201"/>
    <w:rsid w:val="00A12EB9"/>
    <w:rsid w:val="00A823B2"/>
    <w:rsid w:val="00AF6650"/>
    <w:rsid w:val="00C933F4"/>
    <w:rsid w:val="00EE2670"/>
    <w:rsid w:val="00EE6DF6"/>
    <w:rsid w:val="00EF0903"/>
    <w:rsid w:val="01C25065"/>
    <w:rsid w:val="04874344"/>
    <w:rsid w:val="0B6158EF"/>
    <w:rsid w:val="0F1A028E"/>
    <w:rsid w:val="0F476BAA"/>
    <w:rsid w:val="0F565AA9"/>
    <w:rsid w:val="0FFF563E"/>
    <w:rsid w:val="10E02160"/>
    <w:rsid w:val="151E215B"/>
    <w:rsid w:val="17614581"/>
    <w:rsid w:val="18E757BD"/>
    <w:rsid w:val="19BFA3D9"/>
    <w:rsid w:val="1ADA2FC8"/>
    <w:rsid w:val="1BD7EC14"/>
    <w:rsid w:val="1C7134B8"/>
    <w:rsid w:val="1D5030CD"/>
    <w:rsid w:val="21F901D7"/>
    <w:rsid w:val="268D0EEE"/>
    <w:rsid w:val="29746395"/>
    <w:rsid w:val="2B5F1267"/>
    <w:rsid w:val="2F1F0B51"/>
    <w:rsid w:val="2FCD8D00"/>
    <w:rsid w:val="391D25A6"/>
    <w:rsid w:val="39A64349"/>
    <w:rsid w:val="3B984165"/>
    <w:rsid w:val="3BAA5C47"/>
    <w:rsid w:val="3D3D8E96"/>
    <w:rsid w:val="3F7F3592"/>
    <w:rsid w:val="3FDFCE6C"/>
    <w:rsid w:val="40F934C2"/>
    <w:rsid w:val="4AB16FF2"/>
    <w:rsid w:val="4AE9678B"/>
    <w:rsid w:val="4B3B68BB"/>
    <w:rsid w:val="4C7E1155"/>
    <w:rsid w:val="51932FAD"/>
    <w:rsid w:val="527F54FF"/>
    <w:rsid w:val="55713605"/>
    <w:rsid w:val="55B3B377"/>
    <w:rsid w:val="5BC712F6"/>
    <w:rsid w:val="5BFBB889"/>
    <w:rsid w:val="5DFF93B1"/>
    <w:rsid w:val="5E56783C"/>
    <w:rsid w:val="5EAE13E8"/>
    <w:rsid w:val="5F4A263C"/>
    <w:rsid w:val="5F7FD5C8"/>
    <w:rsid w:val="5FCFEEA4"/>
    <w:rsid w:val="637FF819"/>
    <w:rsid w:val="64FFF684"/>
    <w:rsid w:val="650B2967"/>
    <w:rsid w:val="6A3434D5"/>
    <w:rsid w:val="6E91101F"/>
    <w:rsid w:val="6EEAA9C7"/>
    <w:rsid w:val="6FFAB165"/>
    <w:rsid w:val="717FB288"/>
    <w:rsid w:val="73EC4A73"/>
    <w:rsid w:val="767174B1"/>
    <w:rsid w:val="76EE5226"/>
    <w:rsid w:val="79E24222"/>
    <w:rsid w:val="7AB12572"/>
    <w:rsid w:val="7AEFC3AB"/>
    <w:rsid w:val="7BFFB063"/>
    <w:rsid w:val="7C616F3A"/>
    <w:rsid w:val="7D7A148E"/>
    <w:rsid w:val="7DA72945"/>
    <w:rsid w:val="7DFFA1C8"/>
    <w:rsid w:val="7EF38390"/>
    <w:rsid w:val="7F89761A"/>
    <w:rsid w:val="7F94BA62"/>
    <w:rsid w:val="7F9D4E73"/>
    <w:rsid w:val="7FE7577D"/>
    <w:rsid w:val="7FFBE644"/>
    <w:rsid w:val="7FFD7D22"/>
    <w:rsid w:val="86FFB8E4"/>
    <w:rsid w:val="8DDAB980"/>
    <w:rsid w:val="9E7F1D5C"/>
    <w:rsid w:val="AB7FCE9D"/>
    <w:rsid w:val="AFF736E7"/>
    <w:rsid w:val="B5F61A16"/>
    <w:rsid w:val="B7EF8D6B"/>
    <w:rsid w:val="B7F322E8"/>
    <w:rsid w:val="B87D628B"/>
    <w:rsid w:val="BDFCF280"/>
    <w:rsid w:val="BEF3AEFA"/>
    <w:rsid w:val="BFFC0433"/>
    <w:rsid w:val="BFFE3F35"/>
    <w:rsid w:val="CDC6A271"/>
    <w:rsid w:val="DDBBF64B"/>
    <w:rsid w:val="DF674090"/>
    <w:rsid w:val="DFB777F6"/>
    <w:rsid w:val="EBFEF391"/>
    <w:rsid w:val="ECEFDB94"/>
    <w:rsid w:val="EFDBE833"/>
    <w:rsid w:val="F5EEE9F0"/>
    <w:rsid w:val="F77FE269"/>
    <w:rsid w:val="FBD2D990"/>
    <w:rsid w:val="FBFBDA97"/>
    <w:rsid w:val="FED7B90F"/>
    <w:rsid w:val="FEFF8AC2"/>
    <w:rsid w:val="FEFFF4DD"/>
    <w:rsid w:val="FFF3F630"/>
    <w:rsid w:val="FFFBF4DF"/>
    <w:rsid w:val="FFFD0E12"/>
    <w:rsid w:val="FFFD5ED8"/>
    <w:rsid w:val="FFFFCC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22"/>
    <w:semiHidden/>
    <w:unhideWhenUsed/>
    <w:qFormat/>
    <w:uiPriority w:val="0"/>
    <w:pPr>
      <w:keepNext/>
      <w:keepLines/>
      <w:spacing w:before="160" w:after="80"/>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14:ligatures w14:val="standardContextual"/>
    </w:rPr>
  </w:style>
  <w:style w:type="paragraph" w:styleId="6">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14:ligatures w14:val="standardContextual"/>
    </w:rPr>
  </w:style>
  <w:style w:type="paragraph" w:styleId="7">
    <w:name w:val="heading 6"/>
    <w:basedOn w:val="1"/>
    <w:next w:val="1"/>
    <w:link w:val="25"/>
    <w:semiHidden/>
    <w:unhideWhenUsed/>
    <w:qFormat/>
    <w:uiPriority w:val="9"/>
    <w:pPr>
      <w:keepNext/>
      <w:keepLines/>
      <w:spacing w:before="40"/>
      <w:outlineLvl w:val="5"/>
    </w:pPr>
    <w:rPr>
      <w:rFonts w:cstheme="majorBidi"/>
      <w:b/>
      <w:bCs/>
      <w:color w:val="104862" w:themeColor="accent1" w:themeShade="BF"/>
      <w:szCs w:val="22"/>
      <w14:ligatures w14:val="standardContextual"/>
    </w:rPr>
  </w:style>
  <w:style w:type="paragraph" w:styleId="8">
    <w:name w:val="heading 7"/>
    <w:basedOn w:val="1"/>
    <w:next w:val="1"/>
    <w:link w:val="26"/>
    <w:semiHidden/>
    <w:unhideWhenUsed/>
    <w:qFormat/>
    <w:uiPriority w:val="9"/>
    <w:pPr>
      <w:keepNext/>
      <w:keepLines/>
      <w:spacing w:before="40"/>
      <w:outlineLvl w:val="6"/>
    </w:pPr>
    <w:rPr>
      <w:rFonts w:cstheme="majorBidi"/>
      <w:b/>
      <w:bCs/>
      <w:color w:val="595959" w:themeColor="text1" w:themeTint="A6"/>
      <w:szCs w:val="22"/>
      <w14:textFill>
        <w14:solidFill>
          <w14:schemeClr w14:val="tx1">
            <w14:lumMod w14:val="65000"/>
            <w14:lumOff w14:val="35000"/>
          </w14:schemeClr>
        </w14:solidFill>
      </w14:textFill>
      <w14:ligatures w14:val="standardContextual"/>
    </w:rPr>
  </w:style>
  <w:style w:type="paragraph" w:styleId="9">
    <w:name w:val="heading 8"/>
    <w:basedOn w:val="1"/>
    <w:next w:val="1"/>
    <w:link w:val="27"/>
    <w:semiHidden/>
    <w:unhideWhenUsed/>
    <w:qFormat/>
    <w:uiPriority w:val="9"/>
    <w:pPr>
      <w:keepNext/>
      <w:keepLines/>
      <w:outlineLvl w:val="7"/>
    </w:pPr>
    <w:rPr>
      <w:rFonts w:cstheme="majorBidi"/>
      <w:color w:val="595959" w:themeColor="text1" w:themeTint="A6"/>
      <w:szCs w:val="22"/>
      <w14:textFill>
        <w14:solidFill>
          <w14:schemeClr w14:val="tx1">
            <w14:lumMod w14:val="65000"/>
            <w14:lumOff w14:val="35000"/>
          </w14:schemeClr>
        </w14:solidFill>
      </w14:textFill>
      <w14:ligatures w14:val="standardContextual"/>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595959" w:themeColor="text1" w:themeTint="A6"/>
      <w:szCs w:val="22"/>
      <w14:textFill>
        <w14:solidFill>
          <w14:schemeClr w14:val="tx1">
            <w14:lumMod w14:val="65000"/>
            <w14:lumOff w14:val="35000"/>
          </w14:schemeClr>
        </w14:solidFill>
      </w14:textFill>
      <w14:ligatures w14:val="standardContextua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Date"/>
    <w:basedOn w:val="1"/>
    <w:next w:val="1"/>
    <w:link w:val="40"/>
    <w:semiHidden/>
    <w:unhideWhenUsed/>
    <w:uiPriority w:val="99"/>
    <w:pPr>
      <w:ind w:left="100" w:leftChars="2500"/>
    </w:pPr>
  </w:style>
  <w:style w:type="paragraph" w:styleId="12">
    <w:name w:val="footer"/>
    <w:basedOn w:val="1"/>
    <w:link w:val="39"/>
    <w:unhideWhenUsed/>
    <w:qFormat/>
    <w:uiPriority w:val="99"/>
    <w:pPr>
      <w:tabs>
        <w:tab w:val="center" w:pos="4153"/>
        <w:tab w:val="right" w:pos="8306"/>
      </w:tabs>
      <w:snapToGrid w:val="0"/>
      <w:jc w:val="left"/>
    </w:pPr>
    <w:rPr>
      <w:sz w:val="18"/>
      <w:szCs w:val="18"/>
    </w:rPr>
  </w:style>
  <w:style w:type="paragraph" w:styleId="13">
    <w:name w:val="header"/>
    <w:basedOn w:val="1"/>
    <w:link w:val="38"/>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5">
    <w:name w:val="Normal (Web)"/>
    <w:basedOn w:val="1"/>
    <w:semiHidden/>
    <w:unhideWhenUsed/>
    <w:qFormat/>
    <w:uiPriority w:val="0"/>
    <w:pPr>
      <w:spacing w:before="100" w:beforeAutospacing="1" w:after="100" w:afterAutospacing="1"/>
      <w:jc w:val="left"/>
    </w:pPr>
    <w:rPr>
      <w:rFonts w:cs="Times New Roman"/>
      <w:kern w:val="0"/>
      <w:sz w:val="24"/>
    </w:rPr>
  </w:style>
  <w:style w:type="paragraph" w:styleId="16">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styleId="19">
    <w:name w:val="Strong"/>
    <w:basedOn w:val="18"/>
    <w:qFormat/>
    <w:uiPriority w:val="0"/>
    <w:rPr>
      <w:b/>
    </w:rPr>
  </w:style>
  <w:style w:type="character" w:customStyle="1" w:styleId="20">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8"/>
    <w:link w:val="4"/>
    <w:semiHidden/>
    <w:qFormat/>
    <w:uiPriority w:val="0"/>
    <w:rPr>
      <w:rFonts w:asciiTheme="majorHAnsi" w:hAnsiTheme="majorHAnsi" w:eastAsiaTheme="majorEastAsia" w:cstheme="majorBidi"/>
      <w:color w:val="104862" w:themeColor="accent1" w:themeShade="BF"/>
      <w:sz w:val="32"/>
      <w:szCs w:val="32"/>
    </w:rPr>
  </w:style>
  <w:style w:type="character" w:customStyle="1" w:styleId="23">
    <w:name w:val="标题 4 字符"/>
    <w:basedOn w:val="18"/>
    <w:link w:val="5"/>
    <w:semiHidden/>
    <w:qFormat/>
    <w:uiPriority w:val="9"/>
    <w:rPr>
      <w:rFonts w:cstheme="majorBidi"/>
      <w:color w:val="104862" w:themeColor="accent1" w:themeShade="BF"/>
      <w:sz w:val="28"/>
      <w:szCs w:val="28"/>
    </w:rPr>
  </w:style>
  <w:style w:type="character" w:customStyle="1" w:styleId="24">
    <w:name w:val="标题 5 字符"/>
    <w:basedOn w:val="18"/>
    <w:link w:val="6"/>
    <w:semiHidden/>
    <w:qFormat/>
    <w:uiPriority w:val="9"/>
    <w:rPr>
      <w:rFonts w:cstheme="majorBidi"/>
      <w:color w:val="104862" w:themeColor="accent1" w:themeShade="BF"/>
      <w:sz w:val="24"/>
      <w:szCs w:val="24"/>
    </w:rPr>
  </w:style>
  <w:style w:type="character" w:customStyle="1" w:styleId="25">
    <w:name w:val="标题 6 字符"/>
    <w:basedOn w:val="18"/>
    <w:link w:val="7"/>
    <w:semiHidden/>
    <w:qFormat/>
    <w:uiPriority w:val="9"/>
    <w:rPr>
      <w:rFonts w:cstheme="majorBidi"/>
      <w:b/>
      <w:bCs/>
      <w:color w:val="104862" w:themeColor="accent1" w:themeShade="BF"/>
    </w:rPr>
  </w:style>
  <w:style w:type="character" w:customStyle="1" w:styleId="26">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szCs w:val="22"/>
      <w14:textFill>
        <w14:solidFill>
          <w14:schemeClr w14:val="tx1">
            <w14:lumMod w14:val="75000"/>
            <w14:lumOff w14:val="25000"/>
          </w14:schemeClr>
        </w14:solidFill>
      </w14:textFill>
      <w14:ligatures w14:val="standardContextua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rPr>
      <w:szCs w:val="22"/>
      <w14:ligatures w14:val="standardContextual"/>
    </w:rPr>
  </w:style>
  <w:style w:type="character" w:customStyle="1" w:styleId="34">
    <w:name w:val="明显强调1"/>
    <w:basedOn w:val="18"/>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szCs w:val="22"/>
      <w14:ligatures w14:val="standardContextual"/>
    </w:rPr>
  </w:style>
  <w:style w:type="character" w:customStyle="1" w:styleId="36">
    <w:name w:val="明显引用 字符"/>
    <w:basedOn w:val="18"/>
    <w:link w:val="35"/>
    <w:qFormat/>
    <w:uiPriority w:val="30"/>
    <w:rPr>
      <w:i/>
      <w:iCs/>
      <w:color w:val="104862" w:themeColor="accent1" w:themeShade="BF"/>
    </w:rPr>
  </w:style>
  <w:style w:type="character" w:customStyle="1" w:styleId="37">
    <w:name w:val="明显参考1"/>
    <w:basedOn w:val="18"/>
    <w:qFormat/>
    <w:uiPriority w:val="32"/>
    <w:rPr>
      <w:b/>
      <w:bCs/>
      <w:smallCaps/>
      <w:color w:val="104862" w:themeColor="accent1" w:themeShade="BF"/>
      <w:spacing w:val="5"/>
    </w:rPr>
  </w:style>
  <w:style w:type="character" w:customStyle="1" w:styleId="38">
    <w:name w:val="页眉 字符"/>
    <w:basedOn w:val="18"/>
    <w:link w:val="13"/>
    <w:qFormat/>
    <w:uiPriority w:val="99"/>
    <w:rPr>
      <w:sz w:val="18"/>
      <w:szCs w:val="18"/>
      <w14:ligatures w14:val="none"/>
    </w:rPr>
  </w:style>
  <w:style w:type="character" w:customStyle="1" w:styleId="39">
    <w:name w:val="页脚 字符"/>
    <w:basedOn w:val="18"/>
    <w:link w:val="12"/>
    <w:qFormat/>
    <w:uiPriority w:val="99"/>
    <w:rPr>
      <w:sz w:val="18"/>
      <w:szCs w:val="18"/>
      <w14:ligatures w14:val="none"/>
    </w:rPr>
  </w:style>
  <w:style w:type="character" w:customStyle="1" w:styleId="40">
    <w:name w:val="日期 字符"/>
    <w:basedOn w:val="18"/>
    <w:link w:val="11"/>
    <w:semiHidden/>
    <w:qFormat/>
    <w:uiPriority w:val="99"/>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4077</Words>
  <Characters>4098</Characters>
  <Lines>31</Lines>
  <Paragraphs>8</Paragraphs>
  <TotalTime>11</TotalTime>
  <ScaleCrop>false</ScaleCrop>
  <LinksUpToDate>false</LinksUpToDate>
  <CharactersWithSpaces>4123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2026-09-10T00:42:00Z</dcterms:created>
  <dc:creator>yucai gu</dc:creator>
  <cp:lastModifiedBy>简忻</cp:lastModifiedBy>
  <cp:lastPrinted>2026-09-29T07:46:00Z</cp:lastPrinted>
  <dcterms:modified xsi:type="dcterms:W3CDTF">2026-09-29T08:11:21Z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eyJoZGlkIjoiYjQxYmZmMzc5YmI1NTU4OGUxODU4YmU1MjE3MjYzMzUiLCJ1c2VySWQiOiIzNzQ5NTI1NTIifQ==</vt:lpwstr>
  </property>
  <property fmtid="{D5CDD505-2E9C-101B-9397-08002B2CF9AE}" pid="3" name="KSOProductBuildVer">
    <vt:lpwstr>2052-12.1.0.28505</vt:lpwstr>
  </property>
  <property fmtid="{D5CDD505-2E9C-101B-9397-08002B2CF9AE}" pid="4" name="ICV">
    <vt:lpwstr>FA57A9F922FF4EDA956CC515CCA85A80_13</vt:lpwstr>
  </property>
</Properties>
</file>