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2115ABA">
      <w:pPr>
        <w:snapToGrid w:val="0"/>
        <w:spacing w:line="500" w:lineRule="exact"/>
        <w:jc w:val="center"/>
        <w:rPr>
          <w:rFonts w:hint="eastAsia" w:ascii="黑体" w:hAnsi="黑体" w:eastAsia="黑体" w:cs="黑体"/>
          <w:sz w:val="36"/>
          <w:szCs w:val="36"/>
        </w:rPr>
      </w:pPr>
      <w:r>
        <w:rPr>
          <w:rFonts w:hint="eastAsia" w:ascii="黑体" w:hAnsi="黑体" w:eastAsia="黑体" w:cs="黑体"/>
          <w:sz w:val="36"/>
          <w:szCs w:val="36"/>
        </w:rPr>
        <w:t>中国文物学会重大事项议事决策规则</w:t>
      </w:r>
    </w:p>
    <w:p w14:paraId="189D4BE7">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（2026年9月29日中国文物学会第九届理事会第四次会议</w:t>
      </w:r>
      <w:r>
        <w:rPr>
          <w:rFonts w:hint="eastAsia" w:ascii="仿宋" w:hAnsi="仿宋" w:eastAsia="仿宋" w:cs="仿宋"/>
          <w:sz w:val="32"/>
          <w:szCs w:val="32"/>
          <w:lang w:val="en-US" w:eastAsia="zh-CN"/>
        </w:rPr>
        <w:t>审议通过</w:t>
      </w:r>
      <w:r>
        <w:rPr>
          <w:rFonts w:hint="eastAsia" w:ascii="仿宋" w:hAnsi="仿宋" w:eastAsia="仿宋" w:cs="仿宋"/>
          <w:sz w:val="32"/>
          <w:szCs w:val="32"/>
        </w:rPr>
        <w:t>）</w:t>
      </w:r>
    </w:p>
    <w:p w14:paraId="4C82CCE7">
      <w:pPr>
        <w:snapToGrid w:val="0"/>
        <w:spacing w:line="500" w:lineRule="exact"/>
        <w:jc w:val="center"/>
        <w:rPr>
          <w:rFonts w:hint="eastAsia" w:ascii="仿宋" w:hAnsi="仿宋" w:eastAsia="仿宋" w:cs="仿宋"/>
          <w:sz w:val="32"/>
          <w:szCs w:val="32"/>
        </w:rPr>
      </w:pPr>
    </w:p>
    <w:p w14:paraId="4C2CA3BE">
      <w:pPr>
        <w:snapToGrid w:val="0"/>
        <w:spacing w:line="500" w:lineRule="exact"/>
        <w:jc w:val="center"/>
        <w:rPr>
          <w:rFonts w:hint="eastAsia" w:ascii="仿宋" w:hAnsi="仿宋" w:eastAsia="仿宋" w:cs="仿宋"/>
          <w:sz w:val="32"/>
          <w:szCs w:val="32"/>
        </w:rPr>
      </w:pPr>
    </w:p>
    <w:p w14:paraId="2AC90355">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第一章 总则</w:t>
      </w:r>
    </w:p>
    <w:p w14:paraId="07BB8391">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第一条 为规范中国文物学会（以下简称“学会”）重大事项决策行为，健全科学、民主、依法决策机制，加强党的全面领导，落实党组织前置研究把关要求，防范决策风险，依据《中国共产党支部工作条例（试行）》《社会团体登记管理条例》及学会章程，制定本规则。</w:t>
      </w:r>
    </w:p>
    <w:p w14:paraId="37D4A83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第二条 本规则所称重大事项，是指涉及学会重大决策、重要人事任免、重大项目安排、大额资金使用</w:t>
      </w:r>
      <w:r>
        <w:rPr>
          <w:rFonts w:hint="eastAsia" w:ascii="仿宋" w:hAnsi="仿宋" w:eastAsia="仿宋" w:cs="仿宋"/>
          <w:sz w:val="32"/>
          <w:szCs w:val="32"/>
          <w:lang w:val="en-US" w:eastAsia="zh-CN"/>
        </w:rPr>
        <w:t>等</w:t>
      </w:r>
      <w:r>
        <w:rPr>
          <w:rFonts w:hint="eastAsia" w:ascii="仿宋" w:hAnsi="仿宋" w:eastAsia="仿宋" w:cs="仿宋"/>
          <w:sz w:val="32"/>
          <w:szCs w:val="32"/>
        </w:rPr>
        <w:t>。</w:t>
      </w:r>
    </w:p>
    <w:p w14:paraId="7D54EC5A">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第三条</w:t>
      </w:r>
      <w:r>
        <w:rPr>
          <w:rFonts w:hint="eastAsia" w:ascii="仿宋" w:hAnsi="仿宋" w:eastAsia="仿宋" w:cs="仿宋"/>
          <w:color w:val="0000FF"/>
          <w:sz w:val="32"/>
          <w:szCs w:val="32"/>
        </w:rPr>
        <w:t xml:space="preserve"> </w:t>
      </w:r>
      <w:r>
        <w:rPr>
          <w:rFonts w:hint="eastAsia" w:ascii="仿宋" w:hAnsi="仿宋" w:eastAsia="仿宋" w:cs="仿宋"/>
          <w:sz w:val="32"/>
          <w:szCs w:val="32"/>
        </w:rPr>
        <w:t>重大事项决策坚持以下原则：</w:t>
      </w:r>
    </w:p>
    <w:p w14:paraId="350EAF3C">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（一）党建引领，政治把关。落实学会党支部前置研究制度，把党的领导贯穿</w:t>
      </w:r>
      <w:r>
        <w:rPr>
          <w:rFonts w:hint="eastAsia" w:ascii="仿宋" w:hAnsi="仿宋" w:eastAsia="仿宋" w:cs="仿宋"/>
          <w:sz w:val="32"/>
          <w:szCs w:val="32"/>
          <w:lang w:val="en-US" w:eastAsia="zh-CN"/>
        </w:rPr>
        <w:t>于</w:t>
      </w:r>
      <w:r>
        <w:rPr>
          <w:rFonts w:hint="eastAsia" w:ascii="仿宋" w:hAnsi="仿宋" w:eastAsia="仿宋" w:cs="仿宋"/>
          <w:sz w:val="32"/>
          <w:szCs w:val="32"/>
        </w:rPr>
        <w:t>重大事项决策全过程，党支部对重大事项开展政治把关、风险研判。</w:t>
      </w:r>
    </w:p>
    <w:p w14:paraId="5B06A663">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（二）依法依规，章程至上。严格遵守法律法规、学会章程，确保决策内容、程序合法合规。</w:t>
      </w:r>
    </w:p>
    <w:p w14:paraId="4DBF38D4">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（三）集体决策，民主集中。重大事项实行集体讨论决定，充分听取意见，坚持少数服从多数。</w:t>
      </w:r>
    </w:p>
    <w:p w14:paraId="68B95F4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（四）科学审慎，风险可控。对重大事项开展调研论证，充分评估各类风险。</w:t>
      </w:r>
    </w:p>
    <w:p w14:paraId="258D5BEC">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（五）权责统一，全程留痕。坚持谁决策、谁负责，决策全过程记录存档，强化监督与责任追究。</w:t>
      </w:r>
    </w:p>
    <w:p w14:paraId="508CB39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第四条 本规则适用于学会党支部会议、理事会、常务理事会和会长办公会议。</w:t>
      </w:r>
    </w:p>
    <w:p w14:paraId="5EBE3D07">
      <w:pPr>
        <w:snapToGrid w:val="0"/>
        <w:spacing w:line="500" w:lineRule="exact"/>
        <w:ind w:firstLine="640" w:firstLineChars="200"/>
        <w:rPr>
          <w:rFonts w:hint="eastAsia" w:ascii="仿宋" w:hAnsi="仿宋" w:eastAsia="仿宋" w:cs="仿宋"/>
          <w:sz w:val="32"/>
          <w:szCs w:val="32"/>
        </w:rPr>
      </w:pPr>
    </w:p>
    <w:p w14:paraId="517E7745">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第二章 重大事项范围</w:t>
      </w:r>
    </w:p>
    <w:p w14:paraId="1D41BF0C">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第五条 重大决策</w:t>
      </w:r>
    </w:p>
    <w:p w14:paraId="5553E53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（一）贯彻落实党中央、上级党组织、业务主管单位、登记管理机关的重要部署和工作安排；</w:t>
      </w:r>
    </w:p>
    <w:p w14:paraId="07C24B72">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（二）学会党建工作、党风廉政建设、意识形态、舆情风险处置、思想政治工作重大安排；</w:t>
      </w:r>
    </w:p>
    <w:p w14:paraId="4030CA1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（三）学会章程修订，重要内部管理制度制修定和废止，会费标准制定、调整，学会中长期发展规划、年度工作计划、年度工作总结等；</w:t>
      </w:r>
    </w:p>
    <w:p w14:paraId="16393C02">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（四）学会内设机构和分支机构的设立、变更、撤销；</w:t>
      </w:r>
    </w:p>
    <w:p w14:paraId="48D5E6CE">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（五）学会重大对外战略合作、重要协议签订；</w:t>
      </w:r>
    </w:p>
    <w:p w14:paraId="3B411DD8">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（六）理事会、常务理事会换届方案；</w:t>
      </w:r>
    </w:p>
    <w:p w14:paraId="058B4F9F">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（七）其他关系学会全局发展的重大事项。</w:t>
      </w:r>
    </w:p>
    <w:p w14:paraId="6EF13B2B">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第六条 重要人事任免</w:t>
      </w:r>
    </w:p>
    <w:p w14:paraId="744C1E5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（一）会长、副会长、常务理事、理事、监事和法人代表人选酝酿推荐,秘书长、副秘书长聘任、解聘；</w:t>
      </w:r>
    </w:p>
    <w:p w14:paraId="255453B8">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（二）各分支机构负责人、内设机构主要负责人人选决定及任免调整；</w:t>
      </w:r>
    </w:p>
    <w:p w14:paraId="24EF2A30">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（三）秘书处关键岗位人员聘用、解聘；</w:t>
      </w:r>
    </w:p>
    <w:p w14:paraId="41D1E4E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（四）其他重要人事安排。</w:t>
      </w:r>
    </w:p>
    <w:p w14:paraId="15F54DAB">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第七条 重大项目安排</w:t>
      </w:r>
    </w:p>
    <w:p w14:paraId="06AED725">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（一）学会主办、承办的大型学术会议等重大活动；</w:t>
      </w:r>
    </w:p>
    <w:p w14:paraId="31404ACA">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（二）重大课题研究、对外合作服务项目；</w:t>
      </w:r>
    </w:p>
    <w:p w14:paraId="22662F6A">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（三）大额捐赠接收、重大公益项目实施；</w:t>
      </w:r>
    </w:p>
    <w:p w14:paraId="1EEE784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（四）其他对学会有重要影响的事项。</w:t>
      </w:r>
    </w:p>
    <w:p w14:paraId="3ACA8650">
      <w:pPr>
        <w:snapToGrid w:val="0"/>
        <w:spacing w:line="500" w:lineRule="exact"/>
        <w:ind w:firstLine="640" w:firstLineChars="200"/>
        <w:rPr>
          <w:rFonts w:hint="eastAsia" w:ascii="仿宋" w:hAnsi="仿宋" w:eastAsia="仿宋" w:cs="仿宋"/>
          <w:sz w:val="32"/>
          <w:szCs w:val="32"/>
        </w:rPr>
      </w:pPr>
    </w:p>
    <w:p w14:paraId="71268D05">
      <w:pPr>
        <w:snapToGrid w:val="0"/>
        <w:spacing w:line="500" w:lineRule="exact"/>
        <w:ind w:firstLine="640" w:firstLineChars="200"/>
        <w:rPr>
          <w:rFonts w:hint="eastAsia" w:ascii="仿宋" w:hAnsi="仿宋" w:eastAsia="仿宋" w:cs="仿宋"/>
          <w:sz w:val="32"/>
          <w:szCs w:val="32"/>
        </w:rPr>
      </w:pPr>
    </w:p>
    <w:p w14:paraId="5036520E">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第八条 大额资金使用</w:t>
      </w:r>
    </w:p>
    <w:p w14:paraId="4ADD84B7">
      <w:pPr>
        <w:widowControl/>
        <w:snapToGrid w:val="0"/>
        <w:spacing w:line="500" w:lineRule="exact"/>
        <w:ind w:firstLine="640" w:firstLineChars="200"/>
        <w:jc w:val="left"/>
        <w:rPr>
          <w:rFonts w:hint="eastAsia" w:ascii="仿宋" w:hAnsi="仿宋" w:eastAsia="仿宋" w:cs="仿宋"/>
          <w:kern w:val="0"/>
          <w:sz w:val="32"/>
          <w:szCs w:val="32"/>
          <w:lang w:bidi="ar"/>
        </w:rPr>
      </w:pPr>
      <w:r>
        <w:rPr>
          <w:rFonts w:hint="eastAsia" w:ascii="仿宋" w:hAnsi="仿宋" w:eastAsia="仿宋" w:cs="仿宋"/>
          <w:sz w:val="32"/>
          <w:szCs w:val="32"/>
        </w:rPr>
        <w:t>(一)单笔10万元（含）以上</w:t>
      </w:r>
      <w:r>
        <w:rPr>
          <w:rFonts w:hint="eastAsia" w:ascii="仿宋" w:hAnsi="仿宋" w:eastAsia="仿宋" w:cs="仿宋"/>
          <w:sz w:val="32"/>
          <w:szCs w:val="32"/>
          <w:lang w:eastAsia="zh-CN"/>
        </w:rPr>
        <w:t>的</w:t>
      </w:r>
      <w:r>
        <w:rPr>
          <w:rFonts w:hint="eastAsia" w:ascii="仿宋" w:hAnsi="仿宋" w:eastAsia="仿宋" w:cs="仿宋"/>
          <w:kern w:val="0"/>
          <w:sz w:val="32"/>
          <w:szCs w:val="32"/>
          <w:lang w:bidi="ar"/>
        </w:rPr>
        <w:t>捐赠资金、物资的接收、管理、分配与使用处置；</w:t>
      </w:r>
    </w:p>
    <w:p w14:paraId="30D6CB9E">
      <w:pPr>
        <w:widowControl/>
        <w:snapToGrid w:val="0"/>
        <w:spacing w:line="500" w:lineRule="exact"/>
        <w:ind w:firstLine="640" w:firstLineChars="200"/>
        <w:jc w:val="left"/>
        <w:rPr>
          <w:rFonts w:hint="eastAsia" w:ascii="仿宋" w:hAnsi="仿宋" w:eastAsia="仿宋" w:cs="仿宋"/>
          <w:kern w:val="0"/>
          <w:sz w:val="32"/>
          <w:szCs w:val="32"/>
          <w:lang w:bidi="ar"/>
        </w:rPr>
      </w:pPr>
      <w:r>
        <w:rPr>
          <w:rFonts w:hint="eastAsia" w:ascii="仿宋" w:hAnsi="仿宋" w:eastAsia="仿宋" w:cs="仿宋"/>
          <w:kern w:val="0"/>
          <w:sz w:val="32"/>
          <w:szCs w:val="32"/>
          <w:lang w:bidi="ar"/>
        </w:rPr>
        <w:t>(二 )单笔支出10</w:t>
      </w:r>
      <w:r>
        <w:rPr>
          <w:rStyle w:val="6"/>
          <w:rFonts w:hint="eastAsia" w:ascii="仿宋" w:hAnsi="仿宋" w:eastAsia="仿宋" w:cs="仿宋"/>
          <w:b w:val="0"/>
          <w:kern w:val="0"/>
          <w:sz w:val="32"/>
          <w:szCs w:val="32"/>
          <w:lang w:bidi="ar"/>
        </w:rPr>
        <w:t>万元（含）以上</w:t>
      </w:r>
      <w:r>
        <w:rPr>
          <w:rFonts w:hint="eastAsia" w:ascii="仿宋" w:hAnsi="仿宋" w:eastAsia="仿宋" w:cs="仿宋"/>
          <w:kern w:val="0"/>
          <w:sz w:val="32"/>
          <w:szCs w:val="32"/>
          <w:lang w:bidi="ar"/>
        </w:rPr>
        <w:t>的资金使用，先报请党支部</w:t>
      </w:r>
      <w:r>
        <w:rPr>
          <w:rFonts w:hint="eastAsia" w:ascii="仿宋" w:hAnsi="仿宋" w:eastAsia="仿宋" w:cs="仿宋"/>
          <w:sz w:val="32"/>
          <w:szCs w:val="32"/>
        </w:rPr>
        <w:t>会议</w:t>
      </w:r>
      <w:r>
        <w:rPr>
          <w:rFonts w:hint="eastAsia" w:ascii="仿宋" w:hAnsi="仿宋" w:eastAsia="仿宋" w:cs="仿宋"/>
          <w:kern w:val="0"/>
          <w:sz w:val="32"/>
          <w:szCs w:val="32"/>
          <w:lang w:bidi="ar"/>
        </w:rPr>
        <w:t>审议，再由会长办公会</w:t>
      </w:r>
      <w:r>
        <w:rPr>
          <w:rFonts w:hint="eastAsia" w:ascii="仿宋" w:hAnsi="仿宋" w:eastAsia="仿宋" w:cs="仿宋"/>
          <w:sz w:val="32"/>
          <w:szCs w:val="32"/>
        </w:rPr>
        <w:t>议</w:t>
      </w:r>
      <w:r>
        <w:rPr>
          <w:rFonts w:hint="eastAsia" w:ascii="仿宋" w:hAnsi="仿宋" w:eastAsia="仿宋" w:cs="仿宋"/>
          <w:kern w:val="0"/>
          <w:sz w:val="32"/>
          <w:szCs w:val="32"/>
          <w:lang w:bidi="ar"/>
        </w:rPr>
        <w:t>集体研究审议；</w:t>
      </w:r>
    </w:p>
    <w:p w14:paraId="19BB83BB">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kern w:val="0"/>
          <w:sz w:val="32"/>
          <w:szCs w:val="32"/>
          <w:lang w:bidi="ar"/>
        </w:rPr>
        <w:t>（三）超过50万元（含）以上的支出预算，报请党支部</w:t>
      </w:r>
      <w:r>
        <w:rPr>
          <w:rFonts w:hint="eastAsia" w:ascii="仿宋" w:hAnsi="仿宋" w:eastAsia="仿宋" w:cs="仿宋"/>
          <w:sz w:val="32"/>
          <w:szCs w:val="32"/>
        </w:rPr>
        <w:t>会议</w:t>
      </w:r>
      <w:r>
        <w:rPr>
          <w:rFonts w:hint="eastAsia" w:ascii="仿宋" w:hAnsi="仿宋" w:eastAsia="仿宋" w:cs="仿宋"/>
          <w:kern w:val="0"/>
          <w:sz w:val="32"/>
          <w:szCs w:val="32"/>
          <w:lang w:bidi="ar"/>
        </w:rPr>
        <w:t>、会长办公会</w:t>
      </w:r>
      <w:r>
        <w:rPr>
          <w:rFonts w:hint="eastAsia" w:ascii="仿宋" w:hAnsi="仿宋" w:eastAsia="仿宋" w:cs="仿宋"/>
          <w:sz w:val="32"/>
          <w:szCs w:val="32"/>
        </w:rPr>
        <w:t>议</w:t>
      </w:r>
      <w:r>
        <w:rPr>
          <w:rFonts w:hint="eastAsia" w:ascii="仿宋" w:hAnsi="仿宋" w:eastAsia="仿宋" w:cs="仿宋"/>
          <w:kern w:val="0"/>
          <w:sz w:val="32"/>
          <w:szCs w:val="32"/>
          <w:lang w:bidi="ar"/>
        </w:rPr>
        <w:t>审议通过后，再报请理事会或者常务理事会审定。</w:t>
      </w:r>
    </w:p>
    <w:p w14:paraId="3AE56871">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第三章 决策主体及其职责</w:t>
      </w:r>
    </w:p>
    <w:p w14:paraId="12236A67">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第九条 党支部履行前置研究、政治把关职责。凡属于本规则所列重大事项，提交理事会</w:t>
      </w:r>
      <w:r>
        <w:rPr>
          <w:rFonts w:hint="eastAsia" w:ascii="仿宋" w:hAnsi="仿宋" w:eastAsia="仿宋" w:cs="仿宋"/>
          <w:sz w:val="32"/>
          <w:szCs w:val="32"/>
          <w:lang w:val="en-US" w:eastAsia="zh-CN"/>
        </w:rPr>
        <w:t>或者</w:t>
      </w:r>
      <w:bookmarkStart w:id="0" w:name="_GoBack"/>
      <w:bookmarkEnd w:id="0"/>
      <w:r>
        <w:rPr>
          <w:rFonts w:hint="eastAsia" w:ascii="仿宋" w:hAnsi="仿宋" w:eastAsia="仿宋" w:cs="仿宋"/>
          <w:sz w:val="32"/>
          <w:szCs w:val="32"/>
        </w:rPr>
        <w:t>常务理事会审议前，原则上应当先提交学会党支部前置研究。</w:t>
      </w:r>
    </w:p>
    <w:p w14:paraId="58E42BDD">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第十条 会员代表大会闭会期间，由理事会审议决定重大事项。</w:t>
      </w:r>
    </w:p>
    <w:p w14:paraId="0C2AB2A9">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在理事会闭会期间，常务理事会行使章程规定的理事会部分职权，审议决定相关重大事项。</w:t>
      </w:r>
    </w:p>
    <w:p w14:paraId="7EBB45CA">
      <w:pPr>
        <w:snapToGrid w:val="0"/>
        <w:spacing w:line="500" w:lineRule="exact"/>
        <w:ind w:firstLine="640" w:firstLineChars="200"/>
        <w:rPr>
          <w:rFonts w:hint="eastAsia" w:ascii="仿宋" w:hAnsi="仿宋" w:eastAsia="仿宋" w:cs="仿宋"/>
          <w:sz w:val="32"/>
          <w:szCs w:val="32"/>
          <w:highlight w:val="yellow"/>
        </w:rPr>
      </w:pPr>
      <w:r>
        <w:rPr>
          <w:rFonts w:hint="eastAsia" w:ascii="仿宋" w:hAnsi="仿宋" w:eastAsia="仿宋" w:cs="仿宋"/>
          <w:sz w:val="32"/>
          <w:szCs w:val="32"/>
        </w:rPr>
        <w:t>监事对重大事项的决策程序、决议执行</w:t>
      </w:r>
      <w:r>
        <w:rPr>
          <w:rFonts w:hint="eastAsia" w:ascii="仿宋" w:hAnsi="仿宋" w:eastAsia="仿宋" w:cs="仿宋"/>
          <w:kern w:val="0"/>
          <w:sz w:val="32"/>
          <w:szCs w:val="32"/>
          <w:lang w:bidi="ar"/>
        </w:rPr>
        <w:t>、资金使用等</w:t>
      </w:r>
      <w:r>
        <w:rPr>
          <w:rFonts w:hint="eastAsia" w:ascii="仿宋" w:hAnsi="仿宋" w:eastAsia="仿宋" w:cs="仿宋"/>
          <w:sz w:val="32"/>
          <w:szCs w:val="32"/>
        </w:rPr>
        <w:t>情况</w:t>
      </w:r>
      <w:r>
        <w:rPr>
          <w:rFonts w:hint="eastAsia" w:ascii="仿宋" w:hAnsi="仿宋" w:eastAsia="仿宋" w:cs="仿宋"/>
          <w:kern w:val="0"/>
          <w:sz w:val="32"/>
          <w:szCs w:val="32"/>
          <w:lang w:bidi="ar"/>
        </w:rPr>
        <w:t>依规开展监督。</w:t>
      </w:r>
    </w:p>
    <w:p w14:paraId="0A73C9DC">
      <w:pPr>
        <w:spacing w:line="500" w:lineRule="exact"/>
        <w:ind w:firstLine="640" w:firstLineChars="200"/>
        <w:rPr>
          <w:rFonts w:hint="eastAsia" w:ascii="仿宋" w:hAnsi="仿宋" w:eastAsia="仿宋" w:cs="仿宋"/>
          <w:sz w:val="32"/>
          <w:szCs w:val="32"/>
          <w:highlight w:val="yellow"/>
        </w:rPr>
      </w:pPr>
      <w:r>
        <w:rPr>
          <w:rFonts w:hint="eastAsia" w:ascii="仿宋" w:hAnsi="仿宋" w:eastAsia="仿宋" w:cs="仿宋"/>
          <w:sz w:val="32"/>
          <w:szCs w:val="32"/>
        </w:rPr>
        <w:t>第十一条 会长办公会议负责对提交理事会或者常务理事会的重大事项进行前期酝酿，研究提出实施方案，推进落实理事会或者常务理事会做出的决定。</w:t>
      </w:r>
    </w:p>
    <w:p w14:paraId="580956BE">
      <w:pPr>
        <w:snapToGrid w:val="0"/>
        <w:spacing w:line="500" w:lineRule="exact"/>
        <w:jc w:val="center"/>
        <w:rPr>
          <w:rFonts w:hint="eastAsia" w:ascii="仿宋" w:hAnsi="仿宋" w:eastAsia="仿宋" w:cs="仿宋"/>
          <w:sz w:val="32"/>
          <w:szCs w:val="32"/>
        </w:rPr>
      </w:pPr>
      <w:r>
        <w:rPr>
          <w:rFonts w:hint="eastAsia" w:ascii="仿宋" w:hAnsi="仿宋" w:eastAsia="仿宋" w:cs="仿宋"/>
          <w:sz w:val="32"/>
          <w:szCs w:val="32"/>
        </w:rPr>
        <w:t>第四章 决策程序及监督机制</w:t>
      </w:r>
    </w:p>
    <w:p w14:paraId="36ED53B0">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第十二条 议题提出与审核</w:t>
      </w:r>
    </w:p>
    <w:p w14:paraId="4BCA29DB">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（一）重大事项议题可由学会党支部、会长、副会长、秘书长和分支机构提出。</w:t>
      </w:r>
    </w:p>
    <w:p w14:paraId="5F702DEA">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（二）经党支部前置研究同意的重大事项，提交会长办公会议审议。</w:t>
      </w:r>
    </w:p>
    <w:p w14:paraId="2334951E">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第十三条 党支部对重大事项议事决策程序、决议落实情况开展党内监督；监事对决策全过程实施监督。</w:t>
      </w:r>
    </w:p>
    <w:p w14:paraId="10E63C82">
      <w:p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学会重大事项议事决策，自觉接受业务主管单位、登记管理机关的监督检查。</w:t>
      </w:r>
    </w:p>
    <w:p w14:paraId="41FD330F">
      <w:pPr>
        <w:snapToGrid w:val="0"/>
        <w:spacing w:line="500" w:lineRule="exact"/>
        <w:ind w:firstLine="640" w:firstLineChars="200"/>
        <w:jc w:val="center"/>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第五章  附则</w:t>
      </w:r>
    </w:p>
    <w:p w14:paraId="4B1CC768">
      <w:pPr>
        <w:numPr>
          <w:ilvl w:val="0"/>
          <w:numId w:val="1"/>
        </w:numPr>
        <w:snapToGrid w:val="0"/>
        <w:spacing w:line="500" w:lineRule="exact"/>
        <w:ind w:firstLine="640" w:firstLineChars="200"/>
        <w:rPr>
          <w:rFonts w:hint="eastAsia" w:ascii="仿宋" w:hAnsi="仿宋" w:eastAsia="仿宋" w:cs="仿宋"/>
          <w:sz w:val="32"/>
          <w:szCs w:val="32"/>
        </w:rPr>
      </w:pPr>
      <w:r>
        <w:rPr>
          <w:rFonts w:hint="eastAsia" w:ascii="仿宋" w:hAnsi="仿宋" w:eastAsia="仿宋" w:cs="仿宋"/>
          <w:sz w:val="32"/>
          <w:szCs w:val="32"/>
        </w:rPr>
        <w:t>本规则自2026年9月29日中国文物学会第九届理事会第四次会议通过之日起施行。</w:t>
      </w:r>
    </w:p>
    <w:p w14:paraId="61C1B7DF">
      <w:pPr>
        <w:snapToGrid w:val="0"/>
        <w:spacing w:line="500" w:lineRule="exact"/>
        <w:rPr>
          <w:rFonts w:hint="eastAsia" w:ascii="仿宋" w:hAnsi="仿宋" w:eastAsia="仿宋" w:cs="仿宋"/>
          <w:sz w:val="32"/>
          <w:szCs w:val="32"/>
        </w:rPr>
      </w:pPr>
    </w:p>
    <w:p w14:paraId="63BFDFEA">
      <w:pPr>
        <w:snapToGrid w:val="0"/>
        <w:spacing w:line="500" w:lineRule="exact"/>
        <w:rPr>
          <w:rFonts w:hint="eastAsia" w:ascii="仿宋" w:hAnsi="仿宋" w:eastAsia="仿宋" w:cs="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96388150"/>
      <w:docPartObj>
        <w:docPartGallery w:val="autotext"/>
      </w:docPartObj>
    </w:sdtPr>
    <w:sdtContent>
      <w:p w14:paraId="6E00687E">
        <w:pPr>
          <w:pStyle w:val="2"/>
          <w:jc w:val="center"/>
          <w:rPr>
            <w:rFonts w:hint="eastAsia"/>
          </w:rPr>
        </w:pPr>
        <w:r>
          <w:fldChar w:fldCharType="begin"/>
        </w:r>
        <w:r>
          <w:instrText xml:space="preserve">PAGE   \* MERGEFORMAT</w:instrText>
        </w:r>
        <w:r>
          <w:fldChar w:fldCharType="separate"/>
        </w:r>
        <w:r>
          <w:rPr>
            <w:lang w:val="zh-CN"/>
          </w:rPr>
          <w:t>2</w:t>
        </w:r>
        <w:r>
          <w:fldChar w:fldCharType="end"/>
        </w:r>
      </w:p>
    </w:sdtContent>
  </w:sdt>
  <w:p w14:paraId="7DEFD849">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6ED5EB"/>
    <w:multiLevelType w:val="singleLevel"/>
    <w:tmpl w:val="F76ED5EB"/>
    <w:lvl w:ilvl="0" w:tentative="0">
      <w:start w:val="14"/>
      <w:numFmt w:val="chineseCounting"/>
      <w:suff w:val="space"/>
      <w:lvlText w:val="第%1条"/>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10"/>
  <w:doNotDisplayPageBoundaries w:val="1"/>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E8A2EFE"/>
    <w:rsid w:val="002B6661"/>
    <w:rsid w:val="005735A8"/>
    <w:rsid w:val="00852541"/>
    <w:rsid w:val="00865610"/>
    <w:rsid w:val="00B701B7"/>
    <w:rsid w:val="029F0F02"/>
    <w:rsid w:val="029F64F8"/>
    <w:rsid w:val="02CC00DF"/>
    <w:rsid w:val="033C2BF5"/>
    <w:rsid w:val="037203C5"/>
    <w:rsid w:val="04396DE5"/>
    <w:rsid w:val="044A784B"/>
    <w:rsid w:val="047518A0"/>
    <w:rsid w:val="0511189C"/>
    <w:rsid w:val="05291AFD"/>
    <w:rsid w:val="054806A2"/>
    <w:rsid w:val="062A086E"/>
    <w:rsid w:val="066466EB"/>
    <w:rsid w:val="069D376A"/>
    <w:rsid w:val="072F7455"/>
    <w:rsid w:val="077F3CE2"/>
    <w:rsid w:val="07BB163D"/>
    <w:rsid w:val="08A65D3D"/>
    <w:rsid w:val="08FC454D"/>
    <w:rsid w:val="0A1B3564"/>
    <w:rsid w:val="0AA349BF"/>
    <w:rsid w:val="0B3E7F80"/>
    <w:rsid w:val="0CAC4948"/>
    <w:rsid w:val="0E8B09EC"/>
    <w:rsid w:val="0EB67D00"/>
    <w:rsid w:val="0EC266B0"/>
    <w:rsid w:val="0EF80E8F"/>
    <w:rsid w:val="0F112F78"/>
    <w:rsid w:val="0F380715"/>
    <w:rsid w:val="0F6A005A"/>
    <w:rsid w:val="0F9F39DA"/>
    <w:rsid w:val="119B4D4D"/>
    <w:rsid w:val="11AB188E"/>
    <w:rsid w:val="11E03D66"/>
    <w:rsid w:val="12046FD4"/>
    <w:rsid w:val="129B61A1"/>
    <w:rsid w:val="12AA1814"/>
    <w:rsid w:val="12C81DAF"/>
    <w:rsid w:val="140A17C5"/>
    <w:rsid w:val="1542409B"/>
    <w:rsid w:val="155609F9"/>
    <w:rsid w:val="156B3533"/>
    <w:rsid w:val="15CC6AEE"/>
    <w:rsid w:val="16594B4F"/>
    <w:rsid w:val="16EE36AF"/>
    <w:rsid w:val="17F9AF1B"/>
    <w:rsid w:val="18AE7E0C"/>
    <w:rsid w:val="18C26A6D"/>
    <w:rsid w:val="1B01079D"/>
    <w:rsid w:val="1B140288"/>
    <w:rsid w:val="1B722B13"/>
    <w:rsid w:val="1C2564C4"/>
    <w:rsid w:val="1C8E406A"/>
    <w:rsid w:val="1C8E7BC6"/>
    <w:rsid w:val="1D771F63"/>
    <w:rsid w:val="1DB96EC4"/>
    <w:rsid w:val="1DCF70F7"/>
    <w:rsid w:val="1E1C5081"/>
    <w:rsid w:val="1E414EAF"/>
    <w:rsid w:val="1F17F78C"/>
    <w:rsid w:val="1F5E1D29"/>
    <w:rsid w:val="1FCD5CBB"/>
    <w:rsid w:val="206F7D0E"/>
    <w:rsid w:val="20850F5E"/>
    <w:rsid w:val="20DC27D1"/>
    <w:rsid w:val="21DD6EFA"/>
    <w:rsid w:val="221F7512"/>
    <w:rsid w:val="229F0A7E"/>
    <w:rsid w:val="22CF718A"/>
    <w:rsid w:val="23D557D6"/>
    <w:rsid w:val="25585215"/>
    <w:rsid w:val="25D2561C"/>
    <w:rsid w:val="26384FC0"/>
    <w:rsid w:val="26BB5A5B"/>
    <w:rsid w:val="281E698E"/>
    <w:rsid w:val="2829733C"/>
    <w:rsid w:val="287700A8"/>
    <w:rsid w:val="28987E15"/>
    <w:rsid w:val="299B7BD0"/>
    <w:rsid w:val="2A4D10C0"/>
    <w:rsid w:val="2AAF78AD"/>
    <w:rsid w:val="2B655D64"/>
    <w:rsid w:val="2C815051"/>
    <w:rsid w:val="2C852B16"/>
    <w:rsid w:val="2C8903AA"/>
    <w:rsid w:val="2C8B02A3"/>
    <w:rsid w:val="2D1923BD"/>
    <w:rsid w:val="2D214A86"/>
    <w:rsid w:val="2D3D715C"/>
    <w:rsid w:val="2EA25753"/>
    <w:rsid w:val="2EA63495"/>
    <w:rsid w:val="2ECC3993"/>
    <w:rsid w:val="2EDD5851"/>
    <w:rsid w:val="2F6C023B"/>
    <w:rsid w:val="302723B3"/>
    <w:rsid w:val="30D342E9"/>
    <w:rsid w:val="30D836AE"/>
    <w:rsid w:val="31A74402"/>
    <w:rsid w:val="32223D4C"/>
    <w:rsid w:val="32494863"/>
    <w:rsid w:val="324F5BF1"/>
    <w:rsid w:val="3282783E"/>
    <w:rsid w:val="32EB2FB9"/>
    <w:rsid w:val="33E81E5A"/>
    <w:rsid w:val="33FD7BDF"/>
    <w:rsid w:val="345E738B"/>
    <w:rsid w:val="34AA2C62"/>
    <w:rsid w:val="34AA5361"/>
    <w:rsid w:val="35121EA0"/>
    <w:rsid w:val="3541716C"/>
    <w:rsid w:val="35777939"/>
    <w:rsid w:val="358B752B"/>
    <w:rsid w:val="35C661CB"/>
    <w:rsid w:val="36767BF1"/>
    <w:rsid w:val="36C066E4"/>
    <w:rsid w:val="378F705B"/>
    <w:rsid w:val="37B426A3"/>
    <w:rsid w:val="37F7C6EE"/>
    <w:rsid w:val="38602906"/>
    <w:rsid w:val="38AC78FA"/>
    <w:rsid w:val="38CA0C4A"/>
    <w:rsid w:val="390F18D5"/>
    <w:rsid w:val="396C52DB"/>
    <w:rsid w:val="39DA0497"/>
    <w:rsid w:val="3AA840F1"/>
    <w:rsid w:val="3ACB1702"/>
    <w:rsid w:val="3AD9074E"/>
    <w:rsid w:val="3B0D21A6"/>
    <w:rsid w:val="3B693880"/>
    <w:rsid w:val="3BB15227"/>
    <w:rsid w:val="3C383BEB"/>
    <w:rsid w:val="3CBD0327"/>
    <w:rsid w:val="3CF96E86"/>
    <w:rsid w:val="3D8F15CC"/>
    <w:rsid w:val="3D9237DD"/>
    <w:rsid w:val="3D9EA548"/>
    <w:rsid w:val="3E79568B"/>
    <w:rsid w:val="3F4B7254"/>
    <w:rsid w:val="3F841B37"/>
    <w:rsid w:val="3FE02C52"/>
    <w:rsid w:val="3FE91433"/>
    <w:rsid w:val="3FEF6007"/>
    <w:rsid w:val="40490124"/>
    <w:rsid w:val="4114428E"/>
    <w:rsid w:val="41447381"/>
    <w:rsid w:val="41DA54D8"/>
    <w:rsid w:val="41E23C87"/>
    <w:rsid w:val="421361F6"/>
    <w:rsid w:val="42236229"/>
    <w:rsid w:val="42E75F7A"/>
    <w:rsid w:val="43131E82"/>
    <w:rsid w:val="43370708"/>
    <w:rsid w:val="434C1C7B"/>
    <w:rsid w:val="43B15144"/>
    <w:rsid w:val="440E1469"/>
    <w:rsid w:val="4531542D"/>
    <w:rsid w:val="453B0C21"/>
    <w:rsid w:val="46C51AB9"/>
    <w:rsid w:val="46F15E9B"/>
    <w:rsid w:val="47264693"/>
    <w:rsid w:val="472739AC"/>
    <w:rsid w:val="474D674C"/>
    <w:rsid w:val="474E46DC"/>
    <w:rsid w:val="47520125"/>
    <w:rsid w:val="478630AD"/>
    <w:rsid w:val="47F2F4BB"/>
    <w:rsid w:val="48B06FCF"/>
    <w:rsid w:val="48F0039E"/>
    <w:rsid w:val="4936052D"/>
    <w:rsid w:val="49D40A5E"/>
    <w:rsid w:val="4A684122"/>
    <w:rsid w:val="4BB6CF85"/>
    <w:rsid w:val="4D6C1936"/>
    <w:rsid w:val="4DBC0187"/>
    <w:rsid w:val="4F76206A"/>
    <w:rsid w:val="4F7B372A"/>
    <w:rsid w:val="4FEC3A9A"/>
    <w:rsid w:val="4FEE03A0"/>
    <w:rsid w:val="513375D9"/>
    <w:rsid w:val="52241ACF"/>
    <w:rsid w:val="529F2AD5"/>
    <w:rsid w:val="5305612D"/>
    <w:rsid w:val="54FC3DE1"/>
    <w:rsid w:val="553810DC"/>
    <w:rsid w:val="55654684"/>
    <w:rsid w:val="558E2409"/>
    <w:rsid w:val="55B33C1E"/>
    <w:rsid w:val="55F940F1"/>
    <w:rsid w:val="56260C3B"/>
    <w:rsid w:val="56594A37"/>
    <w:rsid w:val="56634E2A"/>
    <w:rsid w:val="575E5E0B"/>
    <w:rsid w:val="579637F7"/>
    <w:rsid w:val="57B46714"/>
    <w:rsid w:val="582D36B9"/>
    <w:rsid w:val="58DB7365"/>
    <w:rsid w:val="59017396"/>
    <w:rsid w:val="593C03CE"/>
    <w:rsid w:val="59456FD0"/>
    <w:rsid w:val="59B03041"/>
    <w:rsid w:val="59F27B21"/>
    <w:rsid w:val="5A0313FD"/>
    <w:rsid w:val="5A4056A2"/>
    <w:rsid w:val="5A843DDB"/>
    <w:rsid w:val="5AB0028C"/>
    <w:rsid w:val="5DC7295C"/>
    <w:rsid w:val="5E45203A"/>
    <w:rsid w:val="5E4F4700"/>
    <w:rsid w:val="5E6956F1"/>
    <w:rsid w:val="5E8A2EFE"/>
    <w:rsid w:val="5EA65931"/>
    <w:rsid w:val="5EE44E48"/>
    <w:rsid w:val="5F0415E0"/>
    <w:rsid w:val="5F0AEC1C"/>
    <w:rsid w:val="5F761901"/>
    <w:rsid w:val="5F7836B0"/>
    <w:rsid w:val="602C02C9"/>
    <w:rsid w:val="60B13450"/>
    <w:rsid w:val="611539DF"/>
    <w:rsid w:val="612B2CF7"/>
    <w:rsid w:val="62A96623"/>
    <w:rsid w:val="63FF2724"/>
    <w:rsid w:val="64104931"/>
    <w:rsid w:val="6421003F"/>
    <w:rsid w:val="64DB5A06"/>
    <w:rsid w:val="6523167D"/>
    <w:rsid w:val="66535EF2"/>
    <w:rsid w:val="66B7E8A0"/>
    <w:rsid w:val="67092797"/>
    <w:rsid w:val="674072DB"/>
    <w:rsid w:val="67C41CBB"/>
    <w:rsid w:val="688F22C8"/>
    <w:rsid w:val="690006ED"/>
    <w:rsid w:val="6949289B"/>
    <w:rsid w:val="69C15A70"/>
    <w:rsid w:val="6ADE7537"/>
    <w:rsid w:val="6AFF2398"/>
    <w:rsid w:val="6B8A6A7E"/>
    <w:rsid w:val="6B910106"/>
    <w:rsid w:val="6C0905E4"/>
    <w:rsid w:val="6C5E8145"/>
    <w:rsid w:val="6C73229B"/>
    <w:rsid w:val="6C81017A"/>
    <w:rsid w:val="6D2F5EB0"/>
    <w:rsid w:val="6D780CD8"/>
    <w:rsid w:val="6D934609"/>
    <w:rsid w:val="6DCC7F54"/>
    <w:rsid w:val="6E704D07"/>
    <w:rsid w:val="6E9D42AE"/>
    <w:rsid w:val="6EFD4276"/>
    <w:rsid w:val="6F181253"/>
    <w:rsid w:val="6F8C7562"/>
    <w:rsid w:val="6FD21BB1"/>
    <w:rsid w:val="6FD77870"/>
    <w:rsid w:val="6FF53681"/>
    <w:rsid w:val="70470A22"/>
    <w:rsid w:val="70666005"/>
    <w:rsid w:val="70A1528F"/>
    <w:rsid w:val="70E24F2A"/>
    <w:rsid w:val="71546ADF"/>
    <w:rsid w:val="719F40F5"/>
    <w:rsid w:val="72734A09"/>
    <w:rsid w:val="72AF1FF1"/>
    <w:rsid w:val="72CC3862"/>
    <w:rsid w:val="734939BC"/>
    <w:rsid w:val="73AD1526"/>
    <w:rsid w:val="73E865B9"/>
    <w:rsid w:val="73F23904"/>
    <w:rsid w:val="75113A9C"/>
    <w:rsid w:val="75297777"/>
    <w:rsid w:val="76E527AD"/>
    <w:rsid w:val="778DB5D7"/>
    <w:rsid w:val="779FAB1A"/>
    <w:rsid w:val="77B24599"/>
    <w:rsid w:val="77D63457"/>
    <w:rsid w:val="77E141C3"/>
    <w:rsid w:val="78DE27EE"/>
    <w:rsid w:val="7956298E"/>
    <w:rsid w:val="79881215"/>
    <w:rsid w:val="7A385D2E"/>
    <w:rsid w:val="7AA339B1"/>
    <w:rsid w:val="7AD97898"/>
    <w:rsid w:val="7ADD3367"/>
    <w:rsid w:val="7AF35895"/>
    <w:rsid w:val="7B5778E5"/>
    <w:rsid w:val="7BF23792"/>
    <w:rsid w:val="7C2BD3F8"/>
    <w:rsid w:val="7C505703"/>
    <w:rsid w:val="7CA12173"/>
    <w:rsid w:val="7D060CAB"/>
    <w:rsid w:val="7DB83C18"/>
    <w:rsid w:val="7E681357"/>
    <w:rsid w:val="7EBC3294"/>
    <w:rsid w:val="7EFFDBCB"/>
    <w:rsid w:val="7F1C1F84"/>
    <w:rsid w:val="7F616785"/>
    <w:rsid w:val="7F756144"/>
    <w:rsid w:val="7F863A08"/>
    <w:rsid w:val="7FD1040F"/>
    <w:rsid w:val="7FEE0B66"/>
    <w:rsid w:val="BBD96A8A"/>
    <w:rsid w:val="BC5770F3"/>
    <w:rsid w:val="BFAA63B7"/>
    <w:rsid w:val="BFEEB128"/>
    <w:rsid w:val="CEBFE941"/>
    <w:rsid w:val="DCEE8227"/>
    <w:rsid w:val="DEFC4448"/>
    <w:rsid w:val="E7D9E1DA"/>
    <w:rsid w:val="EAFEFAC6"/>
    <w:rsid w:val="EEFF3F12"/>
    <w:rsid w:val="F39F4101"/>
    <w:rsid w:val="F5EECDC7"/>
    <w:rsid w:val="F7FD2120"/>
    <w:rsid w:val="FBD363A9"/>
    <w:rsid w:val="FEFB55EB"/>
    <w:rsid w:val="FF6F400F"/>
    <w:rsid w:val="FFC5884A"/>
    <w:rsid w:val="FFCAD3AC"/>
    <w:rsid w:val="FFFFE1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qFormat/>
    <w:uiPriority w:val="99"/>
    <w:pPr>
      <w:tabs>
        <w:tab w:val="center" w:pos="4153"/>
        <w:tab w:val="right" w:pos="8306"/>
      </w:tabs>
      <w:snapToGrid w:val="0"/>
      <w:jc w:val="left"/>
    </w:pPr>
    <w:rPr>
      <w:sz w:val="18"/>
      <w:szCs w:val="18"/>
    </w:rPr>
  </w:style>
  <w:style w:type="paragraph" w:styleId="3">
    <w:name w:val="header"/>
    <w:basedOn w:val="1"/>
    <w:link w:val="7"/>
    <w:uiPriority w:val="0"/>
    <w:pPr>
      <w:tabs>
        <w:tab w:val="center" w:pos="4153"/>
        <w:tab w:val="right" w:pos="8306"/>
      </w:tabs>
      <w:snapToGrid w:val="0"/>
      <w:jc w:val="center"/>
    </w:pPr>
    <w:rPr>
      <w:sz w:val="18"/>
      <w:szCs w:val="18"/>
    </w:rPr>
  </w:style>
  <w:style w:type="character" w:styleId="6">
    <w:name w:val="Strong"/>
    <w:basedOn w:val="5"/>
    <w:qFormat/>
    <w:uiPriority w:val="0"/>
    <w:rPr>
      <w:b/>
    </w:rPr>
  </w:style>
  <w:style w:type="character" w:customStyle="1" w:styleId="7">
    <w:name w:val="页眉 字符"/>
    <w:basedOn w:val="5"/>
    <w:link w:val="3"/>
    <w:qFormat/>
    <w:uiPriority w:val="0"/>
    <w:rPr>
      <w:rFonts w:asciiTheme="minorHAnsi" w:hAnsiTheme="minorHAnsi" w:eastAsiaTheme="minorEastAsia" w:cstheme="minorBidi"/>
      <w:kern w:val="2"/>
      <w:sz w:val="18"/>
      <w:szCs w:val="18"/>
    </w:rPr>
  </w:style>
  <w:style w:type="character" w:customStyle="1" w:styleId="8">
    <w:name w:val="页脚 字符"/>
    <w:basedOn w:val="5"/>
    <w:link w:val="2"/>
    <w:uiPriority w:val="99"/>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1523</Words>
  <Characters>1534</Characters>
  <Lines>11</Lines>
  <Paragraphs>3</Paragraphs>
  <TotalTime>3</TotalTime>
  <ScaleCrop>false</ScaleCrop>
  <LinksUpToDate>false</LinksUpToDate>
  <CharactersWithSpaces>1554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2026-09-09T00:25:00Z</dcterms:created>
  <dc:creator>蜜蜂</dc:creator>
  <cp:lastModifiedBy>简忻</cp:lastModifiedBy>
  <dcterms:modified xsi:type="dcterms:W3CDTF">2026-09-29T07:04:41Z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07C03D9703C14A76B0D1BFCD28B96E25_13</vt:lpwstr>
  </property>
  <property fmtid="{D5CDD505-2E9C-101B-9397-08002B2CF9AE}" pid="4" name="KSOTemplateDocerSaveRecord">
    <vt:lpwstr>eyJoZGlkIjoiYjQxYmZmMzc5YmI1NTU4OGUxODU4YmU1MjE3MjYzMzUiLCJ1c2VySWQiOiIzNzQ5NTI1NTIifQ==</vt:lpwstr>
  </property>
</Properties>
</file>