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6CDDDC">
      <w:pPr>
        <w:snapToGrid w:val="0"/>
        <w:spacing w:line="500" w:lineRule="exact"/>
        <w:jc w:val="center"/>
        <w:rPr>
          <w:rFonts w:hint="eastAsia" w:ascii="黑体" w:hAnsi="黑体" w:eastAsia="黑体" w:cs="黑体"/>
          <w:sz w:val="44"/>
          <w:szCs w:val="44"/>
        </w:rPr>
      </w:pPr>
      <w:r>
        <w:rPr>
          <w:rFonts w:hint="eastAsia" w:ascii="黑体" w:hAnsi="黑体" w:eastAsia="黑体" w:cs="黑体"/>
          <w:sz w:val="44"/>
          <w:szCs w:val="44"/>
        </w:rPr>
        <w:t>中国文物学会经费收支办法</w:t>
      </w:r>
    </w:p>
    <w:p w14:paraId="05CD528B">
      <w:pPr>
        <w:snapToGrid w:val="0"/>
        <w:spacing w:line="500" w:lineRule="exact"/>
        <w:jc w:val="center"/>
        <w:rPr>
          <w:rFonts w:hint="eastAsia" w:ascii="仿宋" w:hAnsi="仿宋" w:eastAsia="仿宋" w:cs="仿宋"/>
          <w:sz w:val="32"/>
          <w:szCs w:val="32"/>
          <w:highlight w:val="yellow"/>
        </w:rPr>
      </w:pPr>
      <w:r>
        <w:rPr>
          <w:rFonts w:hint="eastAsia" w:ascii="仿宋" w:hAnsi="仿宋" w:eastAsia="仿宋" w:cs="仿宋"/>
          <w:sz w:val="32"/>
          <w:szCs w:val="32"/>
        </w:rPr>
        <w:t>（</w:t>
      </w:r>
      <w:r>
        <w:rPr>
          <w:rFonts w:hint="eastAsia" w:ascii="仿宋" w:hAnsi="仿宋" w:eastAsia="仿宋" w:cs="仿宋"/>
          <w:sz w:val="32"/>
          <w:szCs w:val="32"/>
          <w:highlight w:val="none"/>
          <w:lang w:val="en-US" w:eastAsia="zh-CN"/>
        </w:rPr>
        <w:t>2026年5月28日</w:t>
      </w:r>
      <w:r>
        <w:rPr>
          <w:rFonts w:hint="eastAsia" w:ascii="仿宋" w:hAnsi="仿宋" w:eastAsia="仿宋" w:cs="仿宋"/>
          <w:sz w:val="32"/>
          <w:szCs w:val="32"/>
          <w:highlight w:val="none"/>
        </w:rPr>
        <w:t>中国文物学会第九届理事会第三次会议</w:t>
      </w:r>
      <w:r>
        <w:rPr>
          <w:rFonts w:hint="eastAsia" w:ascii="仿宋" w:hAnsi="仿宋" w:eastAsia="仿宋" w:cs="仿宋"/>
          <w:sz w:val="32"/>
          <w:szCs w:val="32"/>
          <w:highlight w:val="none"/>
          <w:lang w:val="en-US" w:eastAsia="zh-CN"/>
        </w:rPr>
        <w:t>审议</w:t>
      </w:r>
      <w:r>
        <w:rPr>
          <w:rFonts w:hint="eastAsia" w:ascii="仿宋" w:hAnsi="仿宋" w:eastAsia="仿宋" w:cs="仿宋"/>
          <w:sz w:val="32"/>
          <w:szCs w:val="32"/>
          <w:highlight w:val="none"/>
        </w:rPr>
        <w:t>通过</w:t>
      </w:r>
      <w:r>
        <w:rPr>
          <w:rFonts w:hint="eastAsia" w:ascii="仿宋" w:hAnsi="仿宋" w:eastAsia="仿宋" w:cs="仿宋"/>
          <w:sz w:val="32"/>
          <w:szCs w:val="32"/>
          <w:highlight w:val="none"/>
          <w:lang w:val="en-US" w:eastAsia="zh-CN"/>
        </w:rPr>
        <w:t>第一次修改；</w:t>
      </w:r>
      <w:r>
        <w:rPr>
          <w:rFonts w:hint="eastAsia" w:ascii="仿宋" w:hAnsi="仿宋" w:eastAsia="仿宋" w:cs="仿宋"/>
          <w:sz w:val="32"/>
          <w:szCs w:val="32"/>
          <w:highlight w:val="none"/>
        </w:rPr>
        <w:t>2026年9月29日中国文物学会第九届理事会第四次会议</w:t>
      </w:r>
      <w:r>
        <w:rPr>
          <w:rFonts w:hint="eastAsia" w:ascii="仿宋" w:hAnsi="仿宋" w:eastAsia="仿宋" w:cs="仿宋"/>
          <w:sz w:val="32"/>
          <w:szCs w:val="32"/>
          <w:highlight w:val="none"/>
          <w:lang w:val="en-US" w:eastAsia="zh-CN"/>
        </w:rPr>
        <w:t>审议通过第二次修改</w:t>
      </w:r>
      <w:r>
        <w:rPr>
          <w:rFonts w:hint="eastAsia" w:ascii="仿宋" w:hAnsi="仿宋" w:eastAsia="仿宋" w:cs="仿宋"/>
          <w:sz w:val="32"/>
          <w:szCs w:val="32"/>
          <w:highlight w:val="none"/>
        </w:rPr>
        <w:t>）</w:t>
      </w:r>
    </w:p>
    <w:p w14:paraId="43A723A9">
      <w:pPr>
        <w:snapToGrid w:val="0"/>
        <w:spacing w:line="500" w:lineRule="exact"/>
        <w:jc w:val="center"/>
        <w:rPr>
          <w:rFonts w:hint="eastAsia" w:ascii="黑体" w:hAnsi="黑体" w:eastAsia="黑体" w:cs="黑体"/>
          <w:color w:val="FF0000"/>
          <w:sz w:val="32"/>
          <w:szCs w:val="32"/>
        </w:rPr>
      </w:pPr>
    </w:p>
    <w:p w14:paraId="16CB4BEC">
      <w:pPr>
        <w:numPr>
          <w:ilvl w:val="0"/>
          <w:numId w:val="1"/>
        </w:num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总则</w:t>
      </w:r>
    </w:p>
    <w:p w14:paraId="03104961">
      <w:pPr>
        <w:numPr>
          <w:ilvl w:val="0"/>
          <w:numId w:val="2"/>
        </w:num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为适应中国文物学会内部控制规范要求，加强经费收支管理，提高资金使用效益，根据有关规定，结合学会实际情况，制定本办法。 </w:t>
      </w:r>
    </w:p>
    <w:p w14:paraId="4706CCBD">
      <w:pPr>
        <w:numPr>
          <w:ilvl w:val="0"/>
          <w:numId w:val="2"/>
        </w:num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本办法适用于中国文物学会及分支机构经费收支管理。 </w:t>
      </w:r>
    </w:p>
    <w:p w14:paraId="02B59530">
      <w:pPr>
        <w:numPr>
          <w:ilvl w:val="0"/>
          <w:numId w:val="2"/>
        </w:num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学会财务工作在秘书长的领导下，由办公室具体负责统一管理。 </w:t>
      </w:r>
    </w:p>
    <w:p w14:paraId="1808B19B">
      <w:pPr>
        <w:numPr>
          <w:ilvl w:val="0"/>
          <w:numId w:val="2"/>
        </w:num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学会经费实行统一管理、分级使用的原则。各分支机构按照《中国文物学会关于分支机构管理办法》规定，在内部划拨经费数额范围内安排经费使用，并接受学会的审核监督。分支机构不得单独设立财务账户。 </w:t>
      </w:r>
    </w:p>
    <w:p w14:paraId="4041EAF1">
      <w:pPr>
        <w:numPr>
          <w:ilvl w:val="0"/>
          <w:numId w:val="2"/>
        </w:num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财会人员要对学会的经费实行会计核算和监督，合理建议安排经费收支，开源节流，保证学会各项工作顺利进行。 </w:t>
      </w:r>
    </w:p>
    <w:p w14:paraId="39C06D12">
      <w:pPr>
        <w:numPr>
          <w:ilvl w:val="0"/>
          <w:numId w:val="2"/>
        </w:num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会计资料、会计档案应当按照有关规定妥善立卷、定期存档。 </w:t>
      </w:r>
    </w:p>
    <w:p w14:paraId="290FA81F">
      <w:pPr>
        <w:numPr>
          <w:ilvl w:val="0"/>
          <w:numId w:val="2"/>
        </w:num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学会财务必须进行年度审计，对审计发现的问题必须进行整改，保证经费收支管理依法合规。 </w:t>
      </w:r>
    </w:p>
    <w:p w14:paraId="452EBBEE">
      <w:pPr>
        <w:numPr>
          <w:ilvl w:val="0"/>
          <w:numId w:val="1"/>
        </w:num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收入管理</w:t>
      </w:r>
    </w:p>
    <w:p w14:paraId="69AC9ADE">
      <w:pPr>
        <w:numPr>
          <w:ilvl w:val="0"/>
          <w:numId w:val="2"/>
        </w:num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学会及分支机构各种收入（包括会费收入、捐赠收入、项目收入、服务收入等），必须交由学会财务统一管理，必要时提供所涉及的合同作为依据。 </w:t>
      </w:r>
    </w:p>
    <w:p w14:paraId="21F7B356">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学会接受有关组织或者个人捐赠，根据《中国文物学会分支机构管理办法》的规定，学会按照超额累进的方法计算留取</w:t>
      </w:r>
      <w:r>
        <w:rPr>
          <w:rFonts w:hint="eastAsia" w:ascii="仿宋" w:hAnsi="仿宋" w:eastAsia="仿宋" w:cs="仿宋"/>
          <w:sz w:val="32"/>
          <w:szCs w:val="32"/>
          <w:highlight w:val="none"/>
        </w:rPr>
        <w:t>事业发展保障经费（</w:t>
      </w:r>
      <w:r>
        <w:rPr>
          <w:rFonts w:hint="eastAsia" w:ascii="仿宋" w:hAnsi="仿宋" w:eastAsia="仿宋" w:cs="仿宋"/>
          <w:sz w:val="32"/>
          <w:szCs w:val="32"/>
        </w:rPr>
        <w:t xml:space="preserve">依照合同约定与实际到账金额计留）。具体如下： </w:t>
      </w:r>
    </w:p>
    <w:p w14:paraId="5548ADFD">
      <w:pPr>
        <w:snapToGrid w:val="0"/>
        <w:spacing w:line="500" w:lineRule="exact"/>
        <w:ind w:firstLine="640" w:firstLineChars="200"/>
        <w:rPr>
          <w:rFonts w:hint="eastAsia" w:ascii="仿宋" w:hAnsi="仿宋" w:eastAsia="仿宋" w:cs="仿宋"/>
          <w:sz w:val="32"/>
          <w:szCs w:val="32"/>
        </w:rPr>
      </w:pPr>
    </w:p>
    <w:tbl>
      <w:tblPr>
        <w:tblStyle w:val="6"/>
        <w:tblW w:w="0" w:type="auto"/>
        <w:tblInd w:w="1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5"/>
        <w:gridCol w:w="3945"/>
      </w:tblGrid>
      <w:tr w14:paraId="015BF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5" w:type="dxa"/>
          </w:tcPr>
          <w:p w14:paraId="5E1515E6">
            <w:p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捐赠额</w:t>
            </w:r>
          </w:p>
        </w:tc>
        <w:tc>
          <w:tcPr>
            <w:tcW w:w="3945" w:type="dxa"/>
          </w:tcPr>
          <w:p w14:paraId="6DEC3E4C">
            <w:p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计留比例</w:t>
            </w:r>
          </w:p>
        </w:tc>
      </w:tr>
      <w:tr w14:paraId="5ACA4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5" w:type="dxa"/>
          </w:tcPr>
          <w:p w14:paraId="44249E0D">
            <w:pPr>
              <w:snapToGrid w:val="0"/>
              <w:spacing w:line="500" w:lineRule="exact"/>
              <w:rPr>
                <w:rFonts w:hint="eastAsia" w:ascii="仿宋" w:hAnsi="仿宋" w:eastAsia="仿宋" w:cs="仿宋"/>
                <w:sz w:val="32"/>
                <w:szCs w:val="32"/>
              </w:rPr>
            </w:pPr>
            <w:r>
              <w:rPr>
                <w:rFonts w:hint="eastAsia" w:ascii="仿宋" w:hAnsi="仿宋" w:eastAsia="仿宋" w:cs="仿宋"/>
                <w:sz w:val="32"/>
                <w:szCs w:val="32"/>
              </w:rPr>
              <w:t>不超过10万元（含10万元）</w:t>
            </w:r>
          </w:p>
        </w:tc>
        <w:tc>
          <w:tcPr>
            <w:tcW w:w="3945" w:type="dxa"/>
          </w:tcPr>
          <w:p w14:paraId="6B34F1E8">
            <w:p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20%</w:t>
            </w:r>
          </w:p>
        </w:tc>
      </w:tr>
      <w:tr w14:paraId="27A7D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5" w:type="dxa"/>
          </w:tcPr>
          <w:p w14:paraId="52B3988E">
            <w:pPr>
              <w:snapToGrid w:val="0"/>
              <w:spacing w:line="500" w:lineRule="exact"/>
              <w:rPr>
                <w:rFonts w:hint="eastAsia" w:ascii="仿宋" w:hAnsi="仿宋" w:eastAsia="仿宋" w:cs="仿宋"/>
                <w:sz w:val="32"/>
                <w:szCs w:val="32"/>
              </w:rPr>
            </w:pPr>
            <w:r>
              <w:rPr>
                <w:rFonts w:hint="eastAsia" w:ascii="仿宋" w:hAnsi="仿宋" w:eastAsia="仿宋" w:cs="仿宋"/>
                <w:sz w:val="32"/>
                <w:szCs w:val="32"/>
              </w:rPr>
              <w:t>10万元至30万元</w:t>
            </w:r>
          </w:p>
        </w:tc>
        <w:tc>
          <w:tcPr>
            <w:tcW w:w="3945" w:type="dxa"/>
          </w:tcPr>
          <w:p w14:paraId="43078B3B">
            <w:p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15%</w:t>
            </w:r>
          </w:p>
        </w:tc>
      </w:tr>
      <w:tr w14:paraId="73AB5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5" w:type="dxa"/>
          </w:tcPr>
          <w:p w14:paraId="49178464">
            <w:pPr>
              <w:snapToGrid w:val="0"/>
              <w:spacing w:line="500" w:lineRule="exact"/>
              <w:rPr>
                <w:rFonts w:hint="eastAsia" w:ascii="仿宋" w:hAnsi="仿宋" w:eastAsia="仿宋" w:cs="仿宋"/>
                <w:sz w:val="32"/>
                <w:szCs w:val="32"/>
              </w:rPr>
            </w:pPr>
            <w:r>
              <w:rPr>
                <w:rFonts w:hint="eastAsia" w:ascii="仿宋" w:hAnsi="仿宋" w:eastAsia="仿宋" w:cs="仿宋"/>
                <w:sz w:val="32"/>
                <w:szCs w:val="32"/>
              </w:rPr>
              <w:t>30万元至50万元</w:t>
            </w:r>
          </w:p>
        </w:tc>
        <w:tc>
          <w:tcPr>
            <w:tcW w:w="3945" w:type="dxa"/>
          </w:tcPr>
          <w:p w14:paraId="301B357C">
            <w:p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10%</w:t>
            </w:r>
          </w:p>
        </w:tc>
      </w:tr>
      <w:tr w14:paraId="4CB4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5" w:type="dxa"/>
          </w:tcPr>
          <w:p w14:paraId="3D872C81">
            <w:pPr>
              <w:snapToGrid w:val="0"/>
              <w:spacing w:line="500" w:lineRule="exact"/>
              <w:rPr>
                <w:rFonts w:hint="eastAsia" w:ascii="仿宋" w:hAnsi="仿宋" w:eastAsia="仿宋" w:cs="仿宋"/>
                <w:sz w:val="32"/>
                <w:szCs w:val="32"/>
              </w:rPr>
            </w:pPr>
            <w:r>
              <w:rPr>
                <w:rFonts w:hint="eastAsia" w:ascii="仿宋" w:hAnsi="仿宋" w:eastAsia="仿宋" w:cs="仿宋"/>
                <w:sz w:val="32"/>
                <w:szCs w:val="32"/>
              </w:rPr>
              <w:t>超过50万元</w:t>
            </w:r>
          </w:p>
        </w:tc>
        <w:tc>
          <w:tcPr>
            <w:tcW w:w="3945" w:type="dxa"/>
          </w:tcPr>
          <w:p w14:paraId="3CB44818">
            <w:p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8%</w:t>
            </w:r>
          </w:p>
        </w:tc>
      </w:tr>
    </w:tbl>
    <w:p w14:paraId="25D65E27">
      <w:pPr>
        <w:snapToGrid w:val="0"/>
        <w:spacing w:line="500" w:lineRule="exact"/>
        <w:ind w:firstLine="640" w:firstLineChars="200"/>
        <w:rPr>
          <w:rFonts w:hint="eastAsia" w:ascii="仿宋" w:hAnsi="仿宋" w:eastAsia="仿宋" w:cs="仿宋"/>
          <w:sz w:val="32"/>
          <w:szCs w:val="32"/>
        </w:rPr>
      </w:pPr>
    </w:p>
    <w:p w14:paraId="3CFDFED9">
      <w:pPr>
        <w:numPr>
          <w:ilvl w:val="0"/>
          <w:numId w:val="2"/>
        </w:num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收缴会费必须使用民政部核发的会费票据，其他收入必须使用税务部门核发的票据。领取票据事前应当经过办公室主任的批准，严格按照民政、税务部门规定的手续办理；领回的票据号码必须登记，各项收入必须与票据相符。 </w:t>
      </w:r>
    </w:p>
    <w:p w14:paraId="19B614EF">
      <w:pPr>
        <w:numPr>
          <w:ilvl w:val="0"/>
          <w:numId w:val="1"/>
        </w:num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支出管理</w:t>
      </w:r>
    </w:p>
    <w:p w14:paraId="04D69965">
      <w:pPr>
        <w:numPr>
          <w:ilvl w:val="0"/>
          <w:numId w:val="2"/>
        </w:num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现金账票应当做到日清月结。库存现金不得超过银行限定的数额。使用支票必须经过办公室主任同意。 </w:t>
      </w:r>
    </w:p>
    <w:p w14:paraId="01670258">
      <w:pPr>
        <w:numPr>
          <w:ilvl w:val="0"/>
          <w:numId w:val="2"/>
        </w:num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分支机构日常经费支出，由主任委员批准同意；非日常经费支出，应当事前提交用款计划，经学会批准后，严格控制不得超支。厉行勤俭节约，严控办公经费，科学合理确定采购需求。购置办公用品应当填写入库单，按照程序批准报销。领取办公用品，领用人在登记簿签字。 </w:t>
      </w:r>
    </w:p>
    <w:p w14:paraId="026BFD2C">
      <w:pPr>
        <w:numPr>
          <w:ilvl w:val="0"/>
          <w:numId w:val="2"/>
        </w:num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经办人报销各种票据，应当提供符合国家财务法规的原始凭证，票据内容必须符合相关工作需求。付款单位为中国文物学会，大小写金额一致且不得涂改，收款单位名称完整正确并盖有发票专用章或者财务专用章；业务内容、填制日期和经办人等项应当填写齐全。 </w:t>
      </w:r>
    </w:p>
    <w:p w14:paraId="4489D512">
      <w:pPr>
        <w:numPr>
          <w:ilvl w:val="0"/>
          <w:numId w:val="2"/>
        </w:num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报销票据原始凭证丢失的，应当提供原开具单位盖章的相关证明（注明原始凭证号、金额和业务内容等）。确实不能提供证明的，应当由当事人写明详细情况，经分支机构主任委员审核、学会秘书长批准后予以报销。 </w:t>
      </w:r>
    </w:p>
    <w:p w14:paraId="07BA1CAC">
      <w:pPr>
        <w:numPr>
          <w:ilvl w:val="0"/>
          <w:numId w:val="2"/>
        </w:num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对外委托事项（包括承办会议、文化服务、学术活动、展览、培训、技能性竞赛等）的费用支付，应当事先提出用款计划并附相关合同。分支机构应当由主任委员办公会议集体研究决定，并在会议纪要上由主任委员、常务</w:t>
      </w:r>
      <w:r>
        <w:rPr>
          <w:rFonts w:hint="eastAsia" w:ascii="仿宋" w:hAnsi="仿宋" w:eastAsia="仿宋" w:cs="仿宋"/>
          <w:sz w:val="32"/>
          <w:szCs w:val="32"/>
          <w:highlight w:val="none"/>
        </w:rPr>
        <w:t>副主任委员和1名副主任委员</w:t>
      </w:r>
      <w:r>
        <w:rPr>
          <w:rFonts w:hint="eastAsia" w:ascii="仿宋" w:hAnsi="仿宋" w:eastAsia="仿宋" w:cs="仿宋"/>
          <w:sz w:val="32"/>
          <w:szCs w:val="32"/>
        </w:rPr>
        <w:t xml:space="preserve">至少3人签字，报送学会。履行过批准手续的合同项目，应当将批文作为附件。 </w:t>
      </w:r>
    </w:p>
    <w:p w14:paraId="50A29593">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单项资金不超过10万元的，应当报经学会秘书长同意；超过10 万元以上的，应当事先报由学会党支部研究提出意见，并报请会长办公会议同意。 </w:t>
      </w:r>
    </w:p>
    <w:p w14:paraId="30AAC710">
      <w:pPr>
        <w:numPr>
          <w:ilvl w:val="0"/>
          <w:numId w:val="2"/>
        </w:num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报销费用应当填写支出凭单。其中，报销差旅费应当填写差旅费审批报销单；报销其他费用应当填写支出凭单。支出凭单应当分项填写，不同项目费用不得填写在一张支出凭单上。原始单据应当按规定粘贴在凭单背后。报销费用应当由经手人、学会办公室主任、审批人签字。 </w:t>
      </w:r>
    </w:p>
    <w:p w14:paraId="6BA85D66">
      <w:pPr>
        <w:numPr>
          <w:ilvl w:val="0"/>
          <w:numId w:val="2"/>
        </w:num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相关审批人应当对费用开支的必要性、真实性、合理性进行审核。财务人员应当对开支范围、审批权限和程序，相关单据合法性、金额计算准确性，以及支付方式等进行审核，并明确经费支付途径。 </w:t>
      </w:r>
    </w:p>
    <w:p w14:paraId="76227896">
      <w:pPr>
        <w:numPr>
          <w:ilvl w:val="0"/>
          <w:numId w:val="2"/>
        </w:num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报销费用应当在取得票据1个月内报销，最多不超过3个月；应当于当年年底前将全部票据报销完毕。个别12月份的票据，应当于次年1月份报销完毕。票据超过次年1月份的，不予报销。</w:t>
      </w:r>
    </w:p>
    <w:p w14:paraId="1781EA83">
      <w:pPr>
        <w:numPr>
          <w:ilvl w:val="0"/>
          <w:numId w:val="2"/>
        </w:num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分支机构预支款项时，应当填写《中国文物学会与各分支机构的资金往来情况》表，注明用款事由、金额，按经费支出审批权限审批后办理。 </w:t>
      </w:r>
    </w:p>
    <w:p w14:paraId="4F09447E">
      <w:pPr>
        <w:numPr>
          <w:ilvl w:val="0"/>
          <w:numId w:val="1"/>
        </w:num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差旅费</w:t>
      </w:r>
    </w:p>
    <w:p w14:paraId="5E9C7F7B">
      <w:pPr>
        <w:numPr>
          <w:ilvl w:val="0"/>
          <w:numId w:val="2"/>
        </w:num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参加各种会议和活动的差旅费，需学会报销的由学会秘书长审批，从严控制出差人数和天数。 </w:t>
      </w:r>
    </w:p>
    <w:p w14:paraId="45C95AFF">
      <w:pPr>
        <w:numPr>
          <w:ilvl w:val="0"/>
          <w:numId w:val="2"/>
        </w:num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交通费按如下标准报销：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3573"/>
        <w:gridCol w:w="1050"/>
        <w:gridCol w:w="1009"/>
        <w:gridCol w:w="1186"/>
      </w:tblGrid>
      <w:tr w14:paraId="626E6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3A33C4A0">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级别</w:t>
            </w:r>
          </w:p>
        </w:tc>
        <w:tc>
          <w:tcPr>
            <w:tcW w:w="3573" w:type="dxa"/>
            <w:vAlign w:val="center"/>
          </w:tcPr>
          <w:p w14:paraId="1197276C">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火车</w:t>
            </w:r>
          </w:p>
        </w:tc>
        <w:tc>
          <w:tcPr>
            <w:tcW w:w="1050" w:type="dxa"/>
            <w:vAlign w:val="center"/>
          </w:tcPr>
          <w:p w14:paraId="361F9731">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轮船</w:t>
            </w:r>
          </w:p>
        </w:tc>
        <w:tc>
          <w:tcPr>
            <w:tcW w:w="1009" w:type="dxa"/>
            <w:vAlign w:val="center"/>
          </w:tcPr>
          <w:p w14:paraId="50876D40">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飞机</w:t>
            </w:r>
          </w:p>
        </w:tc>
        <w:tc>
          <w:tcPr>
            <w:tcW w:w="1186" w:type="dxa"/>
            <w:vAlign w:val="center"/>
          </w:tcPr>
          <w:p w14:paraId="1197017F">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其他交 通工具</w:t>
            </w:r>
          </w:p>
        </w:tc>
      </w:tr>
      <w:tr w14:paraId="79FEB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15551FF3">
            <w:pPr>
              <w:spacing w:line="500" w:lineRule="exact"/>
              <w:rPr>
                <w:rFonts w:hint="eastAsia" w:ascii="仿宋" w:hAnsi="仿宋" w:eastAsia="仿宋" w:cs="仿宋"/>
                <w:color w:val="000000"/>
                <w:sz w:val="28"/>
                <w:szCs w:val="28"/>
              </w:rPr>
            </w:pPr>
            <w:r>
              <w:rPr>
                <w:rFonts w:hint="eastAsia" w:ascii="仿宋" w:hAnsi="仿宋" w:eastAsia="仿宋" w:cs="仿宋"/>
                <w:color w:val="000000"/>
                <w:sz w:val="28"/>
                <w:szCs w:val="28"/>
              </w:rPr>
              <w:t>副部级及相当人员</w:t>
            </w:r>
          </w:p>
        </w:tc>
        <w:tc>
          <w:tcPr>
            <w:tcW w:w="3573" w:type="dxa"/>
            <w:vAlign w:val="center"/>
          </w:tcPr>
          <w:p w14:paraId="6EF15E7A">
            <w:pPr>
              <w:spacing w:line="500" w:lineRule="exact"/>
              <w:rPr>
                <w:rFonts w:hint="eastAsia" w:ascii="仿宋" w:hAnsi="仿宋" w:eastAsia="仿宋" w:cs="仿宋"/>
                <w:color w:val="000000"/>
                <w:sz w:val="28"/>
                <w:szCs w:val="28"/>
              </w:rPr>
            </w:pPr>
            <w:r>
              <w:rPr>
                <w:rFonts w:hint="eastAsia" w:ascii="仿宋" w:hAnsi="仿宋" w:eastAsia="仿宋" w:cs="仿宋"/>
                <w:color w:val="000000"/>
                <w:sz w:val="28"/>
                <w:szCs w:val="28"/>
              </w:rPr>
              <w:t>火车软席（软座、软卧），高铁/动车商务座，全列软席列车一等软座</w:t>
            </w:r>
          </w:p>
        </w:tc>
        <w:tc>
          <w:tcPr>
            <w:tcW w:w="1050" w:type="dxa"/>
            <w:vAlign w:val="center"/>
          </w:tcPr>
          <w:p w14:paraId="17DA8DF2">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一等舱</w:t>
            </w:r>
          </w:p>
        </w:tc>
        <w:tc>
          <w:tcPr>
            <w:tcW w:w="1009" w:type="dxa"/>
            <w:vAlign w:val="center"/>
          </w:tcPr>
          <w:p w14:paraId="66B4302A">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头等舱</w:t>
            </w:r>
          </w:p>
        </w:tc>
        <w:tc>
          <w:tcPr>
            <w:tcW w:w="1186" w:type="dxa"/>
            <w:vAlign w:val="center"/>
          </w:tcPr>
          <w:p w14:paraId="024172C9">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凭据报销</w:t>
            </w:r>
          </w:p>
        </w:tc>
      </w:tr>
      <w:tr w14:paraId="3FCA1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0A52DC0A">
            <w:pPr>
              <w:spacing w:line="500" w:lineRule="exact"/>
              <w:rPr>
                <w:rFonts w:hint="eastAsia" w:ascii="仿宋" w:hAnsi="仿宋" w:eastAsia="仿宋" w:cs="仿宋"/>
                <w:color w:val="000000"/>
                <w:sz w:val="28"/>
                <w:szCs w:val="28"/>
              </w:rPr>
            </w:pPr>
            <w:r>
              <w:rPr>
                <w:rFonts w:hint="eastAsia" w:ascii="仿宋" w:hAnsi="仿宋" w:eastAsia="仿宋" w:cs="仿宋"/>
                <w:color w:val="000000"/>
                <w:sz w:val="28"/>
                <w:szCs w:val="28"/>
              </w:rPr>
              <w:t>学会司局级领导、高级职称及65岁以上人员</w:t>
            </w:r>
          </w:p>
        </w:tc>
        <w:tc>
          <w:tcPr>
            <w:tcW w:w="3573" w:type="dxa"/>
            <w:vAlign w:val="center"/>
          </w:tcPr>
          <w:p w14:paraId="2A1B012E">
            <w:pPr>
              <w:spacing w:line="500" w:lineRule="exact"/>
              <w:rPr>
                <w:rFonts w:hint="eastAsia" w:ascii="仿宋" w:hAnsi="仿宋" w:eastAsia="仿宋" w:cs="仿宋"/>
                <w:color w:val="000000"/>
                <w:sz w:val="28"/>
                <w:szCs w:val="28"/>
              </w:rPr>
            </w:pPr>
            <w:r>
              <w:rPr>
                <w:rFonts w:hint="eastAsia" w:ascii="仿宋" w:hAnsi="仿宋" w:eastAsia="仿宋" w:cs="仿宋"/>
                <w:color w:val="000000"/>
                <w:sz w:val="28"/>
                <w:szCs w:val="28"/>
              </w:rPr>
              <w:t>火车软席（软座、软卧），高铁/动车一等座，全列软席列车一等软座</w:t>
            </w:r>
          </w:p>
        </w:tc>
        <w:tc>
          <w:tcPr>
            <w:tcW w:w="1050" w:type="dxa"/>
            <w:vAlign w:val="center"/>
          </w:tcPr>
          <w:p w14:paraId="61924CB3">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二等舱</w:t>
            </w:r>
          </w:p>
        </w:tc>
        <w:tc>
          <w:tcPr>
            <w:tcW w:w="1009" w:type="dxa"/>
            <w:vAlign w:val="center"/>
          </w:tcPr>
          <w:p w14:paraId="4736FE7E">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经济舱</w:t>
            </w:r>
          </w:p>
        </w:tc>
        <w:tc>
          <w:tcPr>
            <w:tcW w:w="1186" w:type="dxa"/>
            <w:vAlign w:val="center"/>
          </w:tcPr>
          <w:p w14:paraId="16BF8A4E">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凭据报销</w:t>
            </w:r>
          </w:p>
        </w:tc>
      </w:tr>
      <w:tr w14:paraId="74AC7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5C0E4A6F">
            <w:pPr>
              <w:spacing w:line="500" w:lineRule="exact"/>
              <w:rPr>
                <w:rFonts w:hint="eastAsia" w:ascii="仿宋" w:hAnsi="仿宋" w:eastAsia="仿宋" w:cs="仿宋"/>
                <w:color w:val="000000"/>
                <w:sz w:val="28"/>
                <w:szCs w:val="28"/>
              </w:rPr>
            </w:pPr>
            <w:r>
              <w:rPr>
                <w:rFonts w:hint="eastAsia" w:ascii="仿宋" w:hAnsi="仿宋" w:eastAsia="仿宋" w:cs="仿宋"/>
                <w:color w:val="000000"/>
                <w:sz w:val="28"/>
                <w:szCs w:val="28"/>
              </w:rPr>
              <w:t>其余人员</w:t>
            </w:r>
          </w:p>
        </w:tc>
        <w:tc>
          <w:tcPr>
            <w:tcW w:w="3573" w:type="dxa"/>
            <w:vAlign w:val="center"/>
          </w:tcPr>
          <w:p w14:paraId="6367D16B">
            <w:pPr>
              <w:spacing w:line="500" w:lineRule="exact"/>
              <w:rPr>
                <w:rFonts w:hint="eastAsia" w:ascii="仿宋" w:hAnsi="仿宋" w:eastAsia="仿宋" w:cs="仿宋"/>
                <w:color w:val="000000"/>
                <w:sz w:val="28"/>
                <w:szCs w:val="28"/>
              </w:rPr>
            </w:pPr>
            <w:r>
              <w:rPr>
                <w:rFonts w:hint="eastAsia" w:ascii="仿宋" w:hAnsi="仿宋" w:eastAsia="仿宋" w:cs="仿宋"/>
                <w:color w:val="000000"/>
                <w:sz w:val="28"/>
                <w:szCs w:val="28"/>
              </w:rPr>
              <w:t>火车硬座（硬座、硬卧），高铁/动车二等座、全列软席列车二等软座</w:t>
            </w:r>
          </w:p>
        </w:tc>
        <w:tc>
          <w:tcPr>
            <w:tcW w:w="1050" w:type="dxa"/>
            <w:vAlign w:val="center"/>
          </w:tcPr>
          <w:p w14:paraId="1B4AF56F">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三等舱</w:t>
            </w:r>
          </w:p>
        </w:tc>
        <w:tc>
          <w:tcPr>
            <w:tcW w:w="1009" w:type="dxa"/>
            <w:vAlign w:val="center"/>
          </w:tcPr>
          <w:p w14:paraId="3F779CE7">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经济舱</w:t>
            </w:r>
          </w:p>
        </w:tc>
        <w:tc>
          <w:tcPr>
            <w:tcW w:w="1186" w:type="dxa"/>
            <w:vAlign w:val="center"/>
          </w:tcPr>
          <w:p w14:paraId="6D8E6B85">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凭据报销</w:t>
            </w:r>
          </w:p>
        </w:tc>
      </w:tr>
    </w:tbl>
    <w:p w14:paraId="466BD955">
      <w:pPr>
        <w:snapToGrid w:val="0"/>
        <w:spacing w:line="500" w:lineRule="exact"/>
        <w:rPr>
          <w:rFonts w:hint="eastAsia" w:ascii="仿宋" w:hAnsi="仿宋" w:eastAsia="仿宋" w:cs="仿宋"/>
          <w:sz w:val="32"/>
          <w:szCs w:val="32"/>
        </w:rPr>
      </w:pPr>
      <w:r>
        <w:rPr>
          <w:rFonts w:hint="eastAsia" w:ascii="仿宋" w:hAnsi="仿宋" w:eastAsia="仿宋" w:cs="仿宋"/>
          <w:color w:val="000000"/>
          <w:sz w:val="28"/>
          <w:szCs w:val="28"/>
        </w:rPr>
        <w:t>注：轮船不包括旅游船，其他交通工具不包括出租汽车。</w:t>
      </w:r>
      <w:r>
        <w:rPr>
          <w:rFonts w:hint="eastAsia" w:ascii="仿宋" w:hAnsi="仿宋" w:eastAsia="仿宋" w:cs="仿宋"/>
          <w:sz w:val="32"/>
          <w:szCs w:val="32"/>
        </w:rPr>
        <w:t xml:space="preserve"> </w:t>
      </w:r>
    </w:p>
    <w:p w14:paraId="240810C4">
      <w:pPr>
        <w:snapToGrid w:val="0"/>
        <w:spacing w:line="500" w:lineRule="exact"/>
        <w:rPr>
          <w:rFonts w:hint="eastAsia" w:ascii="仿宋" w:hAnsi="仿宋" w:eastAsia="仿宋" w:cs="仿宋"/>
          <w:sz w:val="32"/>
          <w:szCs w:val="32"/>
        </w:rPr>
      </w:pPr>
    </w:p>
    <w:p w14:paraId="44E9C153">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出差人员按上表规定等级乘坐交通工具，在规定标准内凭据报销。无论因何种原因实际乘坐交通工具等级高于规定标准的，差价由本人承担。因私绕道比在规定等级内乘坐的交通工具增加的交通费用由本人承担。 </w:t>
      </w:r>
    </w:p>
    <w:p w14:paraId="0A0A2523">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陪同学会领导或者老专家出差，因工作需要可以随行一人乘坐同等级舱位或者坐席。 </w:t>
      </w:r>
    </w:p>
    <w:p w14:paraId="7560D589">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乘坐飞机、火车、轮船等交通工具的，每人每次可以购买交通意外保险一份。 </w:t>
      </w:r>
    </w:p>
    <w:p w14:paraId="247003C7">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第二十一条 住宿费为副部级及相当人员住普通套间，其他人员住单间或者标准间，按照财政部规定的标准据实报销。 </w:t>
      </w:r>
    </w:p>
    <w:p w14:paraId="10956F31">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第二十二条 出差人员伙食补助费和市内交通费按出差自然天数计算，每人每天180元。凡由接待单位统一安排用餐并提供交通工具的，不再发伙食补助费和市内交通费。往返途中伙食补助费和市内交通费一般按往返各1天计发，跨日的按实际天数计发，当天往返的按1天计发。 </w:t>
      </w:r>
    </w:p>
    <w:p w14:paraId="50FC37E4">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第二十三条 工作人员到常住地以外参加会议、培训，凡由举办单位统一安排食宿的，按照本办法第二十二条报销往返途中伙食补助费和市内交通费。不统一安排食宿的，会议期间的住宿费、伙食补助费和市内交通费均按照差旅费规定报销。工作人员到远郊区县进行公务活动，发生住宿、伙食、交通等费用的，可凭据按照差旅费标准予以报销。由主办单位统一安排食宿、交通工具的，不再报销差旅费。 </w:t>
      </w:r>
    </w:p>
    <w:p w14:paraId="2C7B59F9">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第二十四条 因公出差应当填写出差审批单，说明出差事由、时间、地点、交通工具，学会驻会人员由学会秘书长审批，分支机构人员由主任委员审批。 </w:t>
      </w:r>
    </w:p>
    <w:p w14:paraId="087BCEDF">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第二十五条 因公出差报销差旅费应当填写差旅费报销 单，学会驻会人员由学会秘书长签字，分支机构由主任委员签字；并由经办人签字，方可报销。同时附出差审批单、会议活动邀请函或者通知。差旅费凭据报销。机票、铁路客票由举办单位报销的，如领取往返途中伙食补助费和市内交通费补助，应当提供登机牌或者轮船、车票复印（影印）件。 </w:t>
      </w:r>
    </w:p>
    <w:p w14:paraId="7FE897BA">
      <w:pPr>
        <w:snapToGrid w:val="0"/>
        <w:spacing w:line="500" w:lineRule="exact"/>
        <w:rPr>
          <w:rFonts w:hint="eastAsia" w:ascii="仿宋" w:hAnsi="仿宋" w:eastAsia="仿宋" w:cs="仿宋"/>
          <w:sz w:val="32"/>
          <w:szCs w:val="32"/>
        </w:rPr>
      </w:pPr>
    </w:p>
    <w:p w14:paraId="5A6E7145">
      <w:pPr>
        <w:numPr>
          <w:ilvl w:val="0"/>
          <w:numId w:val="1"/>
        </w:num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培训费</w:t>
      </w:r>
    </w:p>
    <w:p w14:paraId="04F33927">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第二十六条 培训费是指由学会举办的培训班发生的讲课费、住宿费、伙食费、培训场地费、培训资料费、交通费及其他费用支出。其他费用是指现场教学费、设备租赁费、文体活动费、医药费等与培训有关的其他支出。 </w:t>
      </w:r>
    </w:p>
    <w:p w14:paraId="2E1E3A75">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教学人员往返异地发生的城市间交通费用，确实需要培训班报销的，参照差旅费手续报销。 </w:t>
      </w:r>
    </w:p>
    <w:p w14:paraId="6700211D">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第二十七条 除讲课费外，培训费实行分类综合定额标 准，分项核定、总额控制，各项费用之间可以调剂使用。综合定额标准如下：（单位：元 / 人天）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25C9B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14:paraId="43C8CCB3">
            <w:pPr>
              <w:spacing w:line="500" w:lineRule="exact"/>
              <w:jc w:val="center"/>
              <w:rPr>
                <w:rFonts w:hint="eastAsia" w:ascii="仿宋" w:hAnsi="仿宋" w:eastAsia="仿宋" w:cs="仿宋"/>
                <w:color w:val="000000"/>
                <w:sz w:val="32"/>
                <w:szCs w:val="32"/>
              </w:rPr>
            </w:pPr>
            <w:r>
              <w:rPr>
                <w:rFonts w:hint="eastAsia" w:ascii="仿宋" w:hAnsi="仿宋" w:eastAsia="仿宋" w:cs="仿宋"/>
                <w:color w:val="000000"/>
                <w:sz w:val="32"/>
                <w:szCs w:val="32"/>
              </w:rPr>
              <w:t>培训类别</w:t>
            </w:r>
          </w:p>
        </w:tc>
        <w:tc>
          <w:tcPr>
            <w:tcW w:w="1420" w:type="dxa"/>
            <w:vAlign w:val="center"/>
          </w:tcPr>
          <w:p w14:paraId="5A3F2F8B">
            <w:pPr>
              <w:spacing w:line="500" w:lineRule="exact"/>
              <w:jc w:val="center"/>
              <w:rPr>
                <w:rFonts w:hint="eastAsia" w:ascii="仿宋" w:hAnsi="仿宋" w:eastAsia="仿宋" w:cs="仿宋"/>
                <w:color w:val="000000"/>
                <w:sz w:val="32"/>
                <w:szCs w:val="32"/>
              </w:rPr>
            </w:pPr>
            <w:r>
              <w:rPr>
                <w:rFonts w:hint="eastAsia" w:ascii="仿宋" w:hAnsi="仿宋" w:eastAsia="仿宋" w:cs="仿宋"/>
                <w:color w:val="000000"/>
                <w:sz w:val="32"/>
                <w:szCs w:val="32"/>
              </w:rPr>
              <w:t>住宿费</w:t>
            </w:r>
          </w:p>
        </w:tc>
        <w:tc>
          <w:tcPr>
            <w:tcW w:w="1420" w:type="dxa"/>
            <w:vAlign w:val="center"/>
          </w:tcPr>
          <w:p w14:paraId="441B40D8">
            <w:pPr>
              <w:spacing w:line="500" w:lineRule="exact"/>
              <w:jc w:val="center"/>
              <w:rPr>
                <w:rFonts w:hint="eastAsia" w:ascii="仿宋" w:hAnsi="仿宋" w:eastAsia="仿宋" w:cs="仿宋"/>
                <w:color w:val="000000"/>
                <w:sz w:val="32"/>
                <w:szCs w:val="32"/>
              </w:rPr>
            </w:pPr>
            <w:r>
              <w:rPr>
                <w:rFonts w:hint="eastAsia" w:ascii="仿宋" w:hAnsi="仿宋" w:eastAsia="仿宋" w:cs="仿宋"/>
                <w:color w:val="000000"/>
                <w:sz w:val="32"/>
                <w:szCs w:val="32"/>
              </w:rPr>
              <w:t>伙食费</w:t>
            </w:r>
          </w:p>
        </w:tc>
        <w:tc>
          <w:tcPr>
            <w:tcW w:w="1420" w:type="dxa"/>
            <w:vAlign w:val="center"/>
          </w:tcPr>
          <w:p w14:paraId="17039D4C">
            <w:pPr>
              <w:spacing w:line="500" w:lineRule="exact"/>
              <w:jc w:val="center"/>
              <w:rPr>
                <w:rFonts w:hint="eastAsia" w:ascii="仿宋" w:hAnsi="仿宋" w:eastAsia="仿宋" w:cs="仿宋"/>
                <w:color w:val="000000"/>
                <w:sz w:val="32"/>
                <w:szCs w:val="32"/>
              </w:rPr>
            </w:pPr>
            <w:r>
              <w:rPr>
                <w:rFonts w:hint="eastAsia" w:ascii="仿宋" w:hAnsi="仿宋" w:eastAsia="仿宋" w:cs="仿宋"/>
                <w:color w:val="000000"/>
                <w:sz w:val="32"/>
                <w:szCs w:val="32"/>
              </w:rPr>
              <w:t>场地、资料、交通费</w:t>
            </w:r>
          </w:p>
        </w:tc>
        <w:tc>
          <w:tcPr>
            <w:tcW w:w="1421" w:type="dxa"/>
            <w:vAlign w:val="center"/>
          </w:tcPr>
          <w:p w14:paraId="5FA2A1FC">
            <w:pPr>
              <w:spacing w:line="500" w:lineRule="exact"/>
              <w:jc w:val="center"/>
              <w:rPr>
                <w:rFonts w:hint="eastAsia" w:ascii="仿宋" w:hAnsi="仿宋" w:eastAsia="仿宋" w:cs="仿宋"/>
                <w:color w:val="000000"/>
                <w:sz w:val="32"/>
                <w:szCs w:val="32"/>
              </w:rPr>
            </w:pPr>
            <w:r>
              <w:rPr>
                <w:rFonts w:hint="eastAsia" w:ascii="仿宋" w:hAnsi="仿宋" w:eastAsia="仿宋" w:cs="仿宋"/>
                <w:color w:val="000000"/>
                <w:sz w:val="32"/>
                <w:szCs w:val="32"/>
              </w:rPr>
              <w:t>其他费用</w:t>
            </w:r>
          </w:p>
        </w:tc>
        <w:tc>
          <w:tcPr>
            <w:tcW w:w="1421" w:type="dxa"/>
            <w:vAlign w:val="center"/>
          </w:tcPr>
          <w:p w14:paraId="06DE380A">
            <w:pPr>
              <w:spacing w:line="500" w:lineRule="exact"/>
              <w:jc w:val="center"/>
              <w:rPr>
                <w:rFonts w:hint="eastAsia" w:ascii="仿宋" w:hAnsi="仿宋" w:eastAsia="仿宋" w:cs="仿宋"/>
                <w:color w:val="000000"/>
                <w:sz w:val="32"/>
                <w:szCs w:val="32"/>
              </w:rPr>
            </w:pPr>
            <w:r>
              <w:rPr>
                <w:rFonts w:hint="eastAsia" w:ascii="仿宋" w:hAnsi="仿宋" w:eastAsia="仿宋" w:cs="仿宋"/>
                <w:color w:val="000000"/>
                <w:sz w:val="32"/>
                <w:szCs w:val="32"/>
              </w:rPr>
              <w:t>合计</w:t>
            </w:r>
          </w:p>
        </w:tc>
      </w:tr>
      <w:tr w14:paraId="6DA1D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14:paraId="25299DF3">
            <w:pPr>
              <w:spacing w:line="500" w:lineRule="exact"/>
              <w:jc w:val="center"/>
              <w:rPr>
                <w:rFonts w:hint="eastAsia" w:ascii="仿宋" w:hAnsi="仿宋" w:eastAsia="仿宋" w:cs="仿宋"/>
                <w:color w:val="000000"/>
                <w:sz w:val="32"/>
                <w:szCs w:val="32"/>
              </w:rPr>
            </w:pPr>
            <w:r>
              <w:rPr>
                <w:rFonts w:hint="eastAsia" w:ascii="仿宋" w:hAnsi="仿宋" w:eastAsia="仿宋" w:cs="仿宋"/>
                <w:color w:val="000000"/>
                <w:sz w:val="32"/>
                <w:szCs w:val="32"/>
              </w:rPr>
              <w:t>二类培训</w:t>
            </w:r>
          </w:p>
        </w:tc>
        <w:tc>
          <w:tcPr>
            <w:tcW w:w="1420" w:type="dxa"/>
            <w:vAlign w:val="center"/>
          </w:tcPr>
          <w:p w14:paraId="6BD0D7B9">
            <w:pPr>
              <w:spacing w:line="500" w:lineRule="exact"/>
              <w:jc w:val="center"/>
              <w:rPr>
                <w:rFonts w:hint="eastAsia" w:ascii="仿宋" w:hAnsi="仿宋" w:eastAsia="仿宋" w:cs="仿宋"/>
                <w:color w:val="000000"/>
                <w:sz w:val="32"/>
                <w:szCs w:val="32"/>
              </w:rPr>
            </w:pPr>
            <w:r>
              <w:rPr>
                <w:rFonts w:hint="eastAsia" w:ascii="仿宋" w:hAnsi="仿宋" w:eastAsia="仿宋" w:cs="仿宋"/>
                <w:color w:val="000000"/>
                <w:sz w:val="32"/>
                <w:szCs w:val="32"/>
              </w:rPr>
              <w:t>400</w:t>
            </w:r>
          </w:p>
        </w:tc>
        <w:tc>
          <w:tcPr>
            <w:tcW w:w="1420" w:type="dxa"/>
            <w:vAlign w:val="center"/>
          </w:tcPr>
          <w:p w14:paraId="79947B7F">
            <w:pPr>
              <w:spacing w:line="500" w:lineRule="exact"/>
              <w:jc w:val="center"/>
              <w:rPr>
                <w:rFonts w:hint="eastAsia" w:ascii="仿宋" w:hAnsi="仿宋" w:eastAsia="仿宋" w:cs="仿宋"/>
                <w:color w:val="000000"/>
                <w:sz w:val="32"/>
                <w:szCs w:val="32"/>
              </w:rPr>
            </w:pPr>
            <w:r>
              <w:rPr>
                <w:rFonts w:hint="eastAsia" w:ascii="仿宋" w:hAnsi="仿宋" w:eastAsia="仿宋" w:cs="仿宋"/>
                <w:color w:val="000000"/>
                <w:sz w:val="32"/>
                <w:szCs w:val="32"/>
              </w:rPr>
              <w:t>150</w:t>
            </w:r>
          </w:p>
        </w:tc>
        <w:tc>
          <w:tcPr>
            <w:tcW w:w="1420" w:type="dxa"/>
            <w:vAlign w:val="center"/>
          </w:tcPr>
          <w:p w14:paraId="15F09574">
            <w:pPr>
              <w:spacing w:line="500" w:lineRule="exact"/>
              <w:jc w:val="center"/>
              <w:rPr>
                <w:rFonts w:hint="eastAsia" w:ascii="仿宋" w:hAnsi="仿宋" w:eastAsia="仿宋" w:cs="仿宋"/>
                <w:color w:val="000000"/>
                <w:sz w:val="32"/>
                <w:szCs w:val="32"/>
              </w:rPr>
            </w:pPr>
            <w:r>
              <w:rPr>
                <w:rFonts w:hint="eastAsia" w:ascii="仿宋" w:hAnsi="仿宋" w:eastAsia="仿宋" w:cs="仿宋"/>
                <w:color w:val="000000"/>
                <w:sz w:val="32"/>
                <w:szCs w:val="32"/>
              </w:rPr>
              <w:t>70</w:t>
            </w:r>
          </w:p>
        </w:tc>
        <w:tc>
          <w:tcPr>
            <w:tcW w:w="1421" w:type="dxa"/>
            <w:vAlign w:val="center"/>
          </w:tcPr>
          <w:p w14:paraId="352286A4">
            <w:pPr>
              <w:spacing w:line="500" w:lineRule="exact"/>
              <w:jc w:val="center"/>
              <w:rPr>
                <w:rFonts w:hint="eastAsia" w:ascii="仿宋" w:hAnsi="仿宋" w:eastAsia="仿宋" w:cs="仿宋"/>
                <w:color w:val="000000"/>
                <w:sz w:val="32"/>
                <w:szCs w:val="32"/>
              </w:rPr>
            </w:pPr>
            <w:r>
              <w:rPr>
                <w:rFonts w:hint="eastAsia" w:ascii="仿宋" w:hAnsi="仿宋" w:eastAsia="仿宋" w:cs="仿宋"/>
                <w:color w:val="000000"/>
                <w:sz w:val="32"/>
                <w:szCs w:val="32"/>
              </w:rPr>
              <w:t>30</w:t>
            </w:r>
          </w:p>
        </w:tc>
        <w:tc>
          <w:tcPr>
            <w:tcW w:w="1421" w:type="dxa"/>
            <w:vAlign w:val="center"/>
          </w:tcPr>
          <w:p w14:paraId="08229D7C">
            <w:pPr>
              <w:spacing w:line="500" w:lineRule="exact"/>
              <w:jc w:val="center"/>
              <w:rPr>
                <w:rFonts w:hint="eastAsia" w:ascii="仿宋" w:hAnsi="仿宋" w:eastAsia="仿宋" w:cs="仿宋"/>
                <w:color w:val="000000"/>
                <w:sz w:val="32"/>
                <w:szCs w:val="32"/>
              </w:rPr>
            </w:pPr>
            <w:r>
              <w:rPr>
                <w:rFonts w:hint="eastAsia" w:ascii="仿宋" w:hAnsi="仿宋" w:eastAsia="仿宋" w:cs="仿宋"/>
                <w:color w:val="000000"/>
                <w:sz w:val="32"/>
                <w:szCs w:val="32"/>
              </w:rPr>
              <w:t>650</w:t>
            </w:r>
          </w:p>
        </w:tc>
      </w:tr>
      <w:tr w14:paraId="5822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14:paraId="64CC6B08">
            <w:pPr>
              <w:spacing w:line="500" w:lineRule="exact"/>
              <w:jc w:val="center"/>
              <w:rPr>
                <w:rFonts w:hint="eastAsia" w:ascii="仿宋" w:hAnsi="仿宋" w:eastAsia="仿宋" w:cs="仿宋"/>
                <w:color w:val="000000"/>
                <w:sz w:val="32"/>
                <w:szCs w:val="32"/>
              </w:rPr>
            </w:pPr>
            <w:r>
              <w:rPr>
                <w:rFonts w:hint="eastAsia" w:ascii="仿宋" w:hAnsi="仿宋" w:eastAsia="仿宋" w:cs="仿宋"/>
                <w:color w:val="000000"/>
                <w:sz w:val="32"/>
                <w:szCs w:val="32"/>
              </w:rPr>
              <w:t>三类培训</w:t>
            </w:r>
          </w:p>
        </w:tc>
        <w:tc>
          <w:tcPr>
            <w:tcW w:w="1420" w:type="dxa"/>
            <w:vAlign w:val="center"/>
          </w:tcPr>
          <w:p w14:paraId="1AB4F727">
            <w:pPr>
              <w:spacing w:line="500" w:lineRule="exact"/>
              <w:jc w:val="center"/>
              <w:rPr>
                <w:rFonts w:hint="eastAsia" w:ascii="仿宋" w:hAnsi="仿宋" w:eastAsia="仿宋" w:cs="仿宋"/>
                <w:color w:val="000000"/>
                <w:sz w:val="32"/>
                <w:szCs w:val="32"/>
              </w:rPr>
            </w:pPr>
            <w:r>
              <w:rPr>
                <w:rFonts w:hint="eastAsia" w:ascii="仿宋" w:hAnsi="仿宋" w:eastAsia="仿宋" w:cs="仿宋"/>
                <w:color w:val="000000"/>
                <w:sz w:val="32"/>
                <w:szCs w:val="32"/>
              </w:rPr>
              <w:t>340</w:t>
            </w:r>
          </w:p>
        </w:tc>
        <w:tc>
          <w:tcPr>
            <w:tcW w:w="1420" w:type="dxa"/>
            <w:vAlign w:val="center"/>
          </w:tcPr>
          <w:p w14:paraId="1204B7A1">
            <w:pPr>
              <w:spacing w:line="500" w:lineRule="exact"/>
              <w:jc w:val="center"/>
              <w:rPr>
                <w:rFonts w:hint="eastAsia" w:ascii="仿宋" w:hAnsi="仿宋" w:eastAsia="仿宋" w:cs="仿宋"/>
                <w:color w:val="000000"/>
                <w:sz w:val="32"/>
                <w:szCs w:val="32"/>
              </w:rPr>
            </w:pPr>
            <w:r>
              <w:rPr>
                <w:rFonts w:hint="eastAsia" w:ascii="仿宋" w:hAnsi="仿宋" w:eastAsia="仿宋" w:cs="仿宋"/>
                <w:color w:val="000000"/>
                <w:sz w:val="32"/>
                <w:szCs w:val="32"/>
              </w:rPr>
              <w:t>130</w:t>
            </w:r>
          </w:p>
        </w:tc>
        <w:tc>
          <w:tcPr>
            <w:tcW w:w="1420" w:type="dxa"/>
            <w:vAlign w:val="center"/>
          </w:tcPr>
          <w:p w14:paraId="3BE4C58F">
            <w:pPr>
              <w:spacing w:line="500" w:lineRule="exact"/>
              <w:jc w:val="center"/>
              <w:rPr>
                <w:rFonts w:hint="eastAsia" w:ascii="仿宋" w:hAnsi="仿宋" w:eastAsia="仿宋" w:cs="仿宋"/>
                <w:color w:val="000000"/>
                <w:sz w:val="32"/>
                <w:szCs w:val="32"/>
              </w:rPr>
            </w:pPr>
            <w:r>
              <w:rPr>
                <w:rFonts w:hint="eastAsia" w:ascii="仿宋" w:hAnsi="仿宋" w:eastAsia="仿宋" w:cs="仿宋"/>
                <w:color w:val="000000"/>
                <w:sz w:val="32"/>
                <w:szCs w:val="32"/>
              </w:rPr>
              <w:t>50</w:t>
            </w:r>
          </w:p>
        </w:tc>
        <w:tc>
          <w:tcPr>
            <w:tcW w:w="1421" w:type="dxa"/>
            <w:vAlign w:val="center"/>
          </w:tcPr>
          <w:p w14:paraId="6D7A69FA">
            <w:pPr>
              <w:spacing w:line="500" w:lineRule="exact"/>
              <w:jc w:val="center"/>
              <w:rPr>
                <w:rFonts w:hint="eastAsia" w:ascii="仿宋" w:hAnsi="仿宋" w:eastAsia="仿宋" w:cs="仿宋"/>
                <w:color w:val="000000"/>
                <w:sz w:val="32"/>
                <w:szCs w:val="32"/>
              </w:rPr>
            </w:pPr>
            <w:r>
              <w:rPr>
                <w:rFonts w:hint="eastAsia" w:ascii="仿宋" w:hAnsi="仿宋" w:eastAsia="仿宋" w:cs="仿宋"/>
                <w:color w:val="000000"/>
                <w:sz w:val="32"/>
                <w:szCs w:val="32"/>
              </w:rPr>
              <w:t>30</w:t>
            </w:r>
          </w:p>
        </w:tc>
        <w:tc>
          <w:tcPr>
            <w:tcW w:w="1421" w:type="dxa"/>
            <w:vAlign w:val="center"/>
          </w:tcPr>
          <w:p w14:paraId="02C00197">
            <w:pPr>
              <w:spacing w:line="500" w:lineRule="exact"/>
              <w:jc w:val="center"/>
              <w:rPr>
                <w:rFonts w:hint="eastAsia" w:ascii="仿宋" w:hAnsi="仿宋" w:eastAsia="仿宋" w:cs="仿宋"/>
                <w:color w:val="000000"/>
                <w:sz w:val="32"/>
                <w:szCs w:val="32"/>
              </w:rPr>
            </w:pPr>
            <w:r>
              <w:rPr>
                <w:rFonts w:hint="eastAsia" w:ascii="仿宋" w:hAnsi="仿宋" w:eastAsia="仿宋" w:cs="仿宋"/>
                <w:color w:val="000000"/>
                <w:sz w:val="32"/>
                <w:szCs w:val="32"/>
              </w:rPr>
              <w:t>550</w:t>
            </w:r>
          </w:p>
        </w:tc>
      </w:tr>
    </w:tbl>
    <w:p w14:paraId="426E270D">
      <w:pPr>
        <w:snapToGrid w:val="0"/>
        <w:spacing w:line="500" w:lineRule="exact"/>
        <w:ind w:firstLine="640" w:firstLineChars="200"/>
        <w:rPr>
          <w:rFonts w:hint="eastAsia" w:ascii="仿宋" w:hAnsi="仿宋" w:eastAsia="仿宋" w:cs="仿宋"/>
          <w:sz w:val="32"/>
          <w:szCs w:val="32"/>
        </w:rPr>
      </w:pPr>
    </w:p>
    <w:p w14:paraId="37EEE637">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综合定额标准是相关费用开支上限，各单位应当在综合定额标准以内结算报销。 </w:t>
      </w:r>
    </w:p>
    <w:p w14:paraId="2D5D183F">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培训面向副高级以上专业技术人员或者副局级以上行政人员的，可执行二类培训标准。一般普及型培训控制在三类培训标准。30天以内的培训按照综合定额标准控制；超过30天的培训，超过天数按照综合定额标准的70%控制。上述天数含报到撤离时间，报到和撤离时间分别不得超过1天。</w:t>
      </w:r>
    </w:p>
    <w:p w14:paraId="0603F625">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第二十八条 讲课费在综合定额标准外单独核算。讲课费（税后）执行标准为：副高级技术职称专业人员、处级及以下人员每学时最高不超过500元，正高级技术职称专业人员、局级人员每学时最高不超过1000元，院士、全国知名专家、部级人员每学时一般不超过1500元。其他人员讲课费参照上述标准执行。 </w:t>
      </w:r>
    </w:p>
    <w:p w14:paraId="0C83A97C">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讲课费按实际发生的学时计算，每半天最多按4学时计算。同时为多班次一并授课的，不重复计算讲课费。 </w:t>
      </w:r>
    </w:p>
    <w:p w14:paraId="0EA8E3B9">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第二十九条 因必需使用实验场地、实验（教学）标本、实验材料等原因，综合定额标准确实难以满足正常培训需要的，合理超标部分按经费审批权限经领导审批可据实核支。</w:t>
      </w:r>
    </w:p>
    <w:p w14:paraId="502BAE7E">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第三十条 培训地点应当在开支范围和标准内，择优选择党校、行政学院、干部学院以及其他培训机构承办。组织培训的工作人员控制在参训人员数量的15%以内。 </w:t>
      </w:r>
    </w:p>
    <w:p w14:paraId="0C968736">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第三十一条 报销培训费，应当提供培训计划审批文件、培训通知、实际参训人员签到表以及培训机构出具的收款票据、费用明细等凭证。讲课费应当提供教师签收单或者合同。异地授课的城市间交通费、住宿费、伙食费按照差旅费报销办法提供相关凭证。报销支出凭单，学会举办的由学会秘书长签字，分支机构举办的由分支机构主任委员或者</w:t>
      </w:r>
      <w:r>
        <w:rPr>
          <w:rFonts w:hint="eastAsia" w:ascii="仿宋" w:hAnsi="仿宋" w:eastAsia="仿宋" w:cs="仿宋"/>
          <w:sz w:val="32"/>
          <w:szCs w:val="32"/>
          <w:highlight w:val="none"/>
        </w:rPr>
        <w:t>常务副主任委员</w:t>
      </w:r>
      <w:r>
        <w:rPr>
          <w:rFonts w:hint="eastAsia" w:ascii="仿宋" w:hAnsi="仿宋" w:eastAsia="仿宋" w:cs="仿宋"/>
          <w:sz w:val="32"/>
          <w:szCs w:val="32"/>
        </w:rPr>
        <w:t xml:space="preserve">签字；并由经办人签字，方可报销。培训费支付,应当以银行转账或者银行卡方式结算。 </w:t>
      </w:r>
    </w:p>
    <w:p w14:paraId="3F94BCA7">
      <w:pPr>
        <w:numPr>
          <w:ilvl w:val="0"/>
          <w:numId w:val="1"/>
        </w:num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会议费</w:t>
      </w:r>
    </w:p>
    <w:p w14:paraId="5E2EDD8D">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第三十二条 会议费支出标准参照《中央和国家机关会议费管理办法》相关规定执行。国际会议执行财政部《在华举办国际会议费用开支标准和财务管理办法》等文件相关规定执行。 </w:t>
      </w:r>
    </w:p>
    <w:p w14:paraId="27852719">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第三十三条 学会及分支机构举办或者承办的会议分为三类： </w:t>
      </w:r>
    </w:p>
    <w:p w14:paraId="15BF917B">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二类会议，包括学会会员代表大会、常务理事会、理事会会议，分支机构负责人会议。参会人员不超过300人,其中工作人员控制在会议人数的15%以内。 </w:t>
      </w:r>
    </w:p>
    <w:p w14:paraId="32D3FA08">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三类会议，包括学会或者各分支机构举办的学术研讨会。参会人员不超过150人,其中工作人员控制在会议人数的10%以内。 </w:t>
      </w:r>
    </w:p>
    <w:p w14:paraId="489BA1E5">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四类会议，包括小型研讨会、座谈会、评审会等。参会人员视内容而定,一般不超过50人。 </w:t>
      </w:r>
    </w:p>
    <w:p w14:paraId="7E63F8E6">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第三十四条 二类、三类会议正式会期一般不得超过2天，四类会议一般不得超过1天。 </w:t>
      </w:r>
    </w:p>
    <w:p w14:paraId="09F025B5">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第三十五条 会议费开支范围包括住宿费、伙食费、会议室租金、交通费、文件印刷费、医药费等。交通费是指用于会议代表接送站以及会议统一组织的代表考察、调研等发生的交通支出。会议代表参加会议发生的城市间交通费,原则上由代表所在单位报销。确实需要会议报销城市间交通费的，参照差旅费手续报销。 </w:t>
      </w:r>
    </w:p>
    <w:p w14:paraId="3B422878">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第三十六条 会议费支出实行综合定额控制，综合定额是会议费开支的上限，各项费用之间可以调剂使用。 </w:t>
      </w:r>
    </w:p>
    <w:p w14:paraId="3B227699">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会议费综合定额标准如下 :（单位 : 元 / 人天） </w:t>
      </w:r>
    </w:p>
    <w:p w14:paraId="7D81AD83">
      <w:pPr>
        <w:snapToGrid w:val="0"/>
        <w:spacing w:line="500" w:lineRule="exact"/>
        <w:ind w:firstLine="640" w:firstLineChars="200"/>
        <w:rPr>
          <w:rFonts w:hint="eastAsia" w:ascii="仿宋" w:hAnsi="仿宋" w:eastAsia="仿宋" w:cs="仿宋"/>
          <w:sz w:val="32"/>
          <w:szCs w:val="32"/>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14:paraId="4D8BD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vAlign w:val="center"/>
          </w:tcPr>
          <w:p w14:paraId="2126FFFA">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会议类型</w:t>
            </w:r>
          </w:p>
        </w:tc>
        <w:tc>
          <w:tcPr>
            <w:tcW w:w="1704" w:type="dxa"/>
            <w:vAlign w:val="center"/>
          </w:tcPr>
          <w:p w14:paraId="3F23533D">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住宿费</w:t>
            </w:r>
          </w:p>
        </w:tc>
        <w:tc>
          <w:tcPr>
            <w:tcW w:w="1704" w:type="dxa"/>
            <w:vAlign w:val="center"/>
          </w:tcPr>
          <w:p w14:paraId="4532A1AC">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伙食费</w:t>
            </w:r>
          </w:p>
        </w:tc>
        <w:tc>
          <w:tcPr>
            <w:tcW w:w="1705" w:type="dxa"/>
            <w:vAlign w:val="center"/>
          </w:tcPr>
          <w:p w14:paraId="53290F0B">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其他</w:t>
            </w:r>
          </w:p>
        </w:tc>
        <w:tc>
          <w:tcPr>
            <w:tcW w:w="1705" w:type="dxa"/>
            <w:vAlign w:val="center"/>
          </w:tcPr>
          <w:p w14:paraId="725C08DF">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合计</w:t>
            </w:r>
          </w:p>
        </w:tc>
      </w:tr>
      <w:tr w14:paraId="75BA3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610B493B">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二类会议</w:t>
            </w:r>
          </w:p>
        </w:tc>
        <w:tc>
          <w:tcPr>
            <w:tcW w:w="1704" w:type="dxa"/>
            <w:vAlign w:val="center"/>
          </w:tcPr>
          <w:p w14:paraId="05544F60">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450</w:t>
            </w:r>
          </w:p>
        </w:tc>
        <w:tc>
          <w:tcPr>
            <w:tcW w:w="1704" w:type="dxa"/>
            <w:vAlign w:val="center"/>
          </w:tcPr>
          <w:p w14:paraId="76B944AE">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130</w:t>
            </w:r>
          </w:p>
        </w:tc>
        <w:tc>
          <w:tcPr>
            <w:tcW w:w="1705" w:type="dxa"/>
            <w:vAlign w:val="center"/>
          </w:tcPr>
          <w:p w14:paraId="279C17CC">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70</w:t>
            </w:r>
          </w:p>
        </w:tc>
        <w:tc>
          <w:tcPr>
            <w:tcW w:w="1705" w:type="dxa"/>
            <w:vAlign w:val="center"/>
          </w:tcPr>
          <w:p w14:paraId="39D624C3">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650</w:t>
            </w:r>
          </w:p>
        </w:tc>
      </w:tr>
      <w:tr w14:paraId="5E57F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27A42129">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三、四类会议</w:t>
            </w:r>
          </w:p>
        </w:tc>
        <w:tc>
          <w:tcPr>
            <w:tcW w:w="1704" w:type="dxa"/>
            <w:vAlign w:val="center"/>
          </w:tcPr>
          <w:p w14:paraId="7D941151">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380</w:t>
            </w:r>
          </w:p>
        </w:tc>
        <w:tc>
          <w:tcPr>
            <w:tcW w:w="1704" w:type="dxa"/>
            <w:vAlign w:val="center"/>
          </w:tcPr>
          <w:p w14:paraId="152E71BF">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120</w:t>
            </w:r>
          </w:p>
        </w:tc>
        <w:tc>
          <w:tcPr>
            <w:tcW w:w="1705" w:type="dxa"/>
            <w:vAlign w:val="center"/>
          </w:tcPr>
          <w:p w14:paraId="2013D8B4">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50</w:t>
            </w:r>
          </w:p>
        </w:tc>
        <w:tc>
          <w:tcPr>
            <w:tcW w:w="1705" w:type="dxa"/>
            <w:vAlign w:val="center"/>
          </w:tcPr>
          <w:p w14:paraId="0F61854A">
            <w:pPr>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550</w:t>
            </w:r>
          </w:p>
        </w:tc>
      </w:tr>
    </w:tbl>
    <w:p w14:paraId="701782D7">
      <w:pPr>
        <w:snapToGrid w:val="0"/>
        <w:spacing w:line="500" w:lineRule="exact"/>
        <w:ind w:firstLine="640" w:firstLineChars="200"/>
        <w:rPr>
          <w:rFonts w:hint="eastAsia" w:ascii="仿宋" w:hAnsi="仿宋" w:eastAsia="仿宋" w:cs="仿宋"/>
          <w:sz w:val="32"/>
          <w:szCs w:val="32"/>
        </w:rPr>
      </w:pPr>
    </w:p>
    <w:p w14:paraId="6F539766">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其中举办半天的四类会议用餐，一顿餐费标准不超过100元。 </w:t>
      </w:r>
    </w:p>
    <w:p w14:paraId="6A83B928">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第三十七条 报销会议费用，应当提供会议通知、参加会议人员签到表以及接待机构出具的收款票据、费用明细等凭证。讲课费应当提供教师签收单或者合同。异地授课的城市间交通费、住宿费、伙食费按照差旅费报销办法提供相关凭证。学会举办的会议由学会秘书长签字，分支机构举办的会议由分支机构主任委员及经办人签字，方可报销。会议费支付,应当以银行转账或者银行卡方式结算。 </w:t>
      </w:r>
    </w:p>
    <w:p w14:paraId="0ACF1D6F">
      <w:pPr>
        <w:numPr>
          <w:ilvl w:val="0"/>
          <w:numId w:val="1"/>
        </w:num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接待费</w:t>
      </w:r>
    </w:p>
    <w:p w14:paraId="24A9805F">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第三十八条 学会领导或者分支机构主要负责人接待地方领导或者专家就餐，餐费标准为每人100元。陪餐人员不超过客人的三分之一。 </w:t>
      </w:r>
    </w:p>
    <w:p w14:paraId="735799E4">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第三十九条 学会领导或者分支机构主要负责人接待外宾就餐，餐费标准为每人260元。主客人员比例原则为1:1。 </w:t>
      </w:r>
    </w:p>
    <w:p w14:paraId="1D4D3328">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第四十条 报销接待费需填写审批单，注明接待时间、事由、场所及参加人，同时填写支出凭单，由学会秘书长或者分支机构主任委员及经办人签字，方可报销。 </w:t>
      </w:r>
    </w:p>
    <w:p w14:paraId="18E1788F">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第四十一条 需要安排住宿接待的，住宿标准参照本办法规定的差旅费住宿标准。 </w:t>
      </w:r>
    </w:p>
    <w:p w14:paraId="330222BB">
      <w:pPr>
        <w:numPr>
          <w:ilvl w:val="0"/>
          <w:numId w:val="1"/>
        </w:num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劳务费</w:t>
      </w:r>
    </w:p>
    <w:p w14:paraId="3D1C9397">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第四十二条 发放劳务费的标准为： </w:t>
      </w:r>
    </w:p>
    <w:p w14:paraId="324E8C72">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报告、讲座、授课等劳务费，按照本办法第二十八条规定的培训讲课费的标准发放。 </w:t>
      </w:r>
    </w:p>
    <w:p w14:paraId="08A5A261">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评审、论证、鉴定、研讨、咨询、座谈、考官、审读、工作方案审议等会议劳务费，按照不超过800元/半天（税后，下同）、1500元/全天的标准发放。 </w:t>
      </w:r>
    </w:p>
    <w:p w14:paraId="6D805243">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承担科研项目的专家咨询费，按照高级职称咨询费1500-2400 元/人天，其他专业人员咨询费900-1500元/人天的标准发放；半天按照上述标准的60%发放。 </w:t>
      </w:r>
    </w:p>
    <w:p w14:paraId="309B3BA1">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考察、检查、验收、课题调研、学会主办的重要会议会务服务等劳务费，按照不超过500元/半天、800元/天的标准发放。 临时工勤服务劳务费按照不超过200元/半天、300元/天的标准发放。 </w:t>
      </w:r>
    </w:p>
    <w:p w14:paraId="1C926F3F">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以上各项劳务和咨询费超过1000元（含个人所得税）的，领款人应当事先出具由税务机关开具的增值税发票。 </w:t>
      </w:r>
    </w:p>
    <w:p w14:paraId="04F89A1F">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第四十三条 发放劳务费、咨询费应当由经办人填写领取单，注明时间、事由，按规定批准后方可发放。 </w:t>
      </w:r>
    </w:p>
    <w:p w14:paraId="55C82DCF">
      <w:pPr>
        <w:numPr>
          <w:ilvl w:val="0"/>
          <w:numId w:val="1"/>
        </w:num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举办活动费</w:t>
      </w:r>
    </w:p>
    <w:p w14:paraId="057210CC">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第四十四条 学会或者分支机构举办文化服务、学术活动、展览、技能性竞赛等活动，发生的食宿、交通等费用，按照本办法第六章规定执行。劳务费用按照本办法第八章规定执行。 </w:t>
      </w:r>
    </w:p>
    <w:p w14:paraId="00A6B737">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第四十五条 因举办活动所需场地、器材、必要的装饰、耗材等费用，由承办单位作出预算，由分支机构主任委员审核，学会秘书长审批。大额预算按照第十四条规定程序审批。 </w:t>
      </w:r>
    </w:p>
    <w:p w14:paraId="59AFE405">
      <w:pPr>
        <w:numPr>
          <w:ilvl w:val="0"/>
          <w:numId w:val="1"/>
        </w:num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办公费用</w:t>
      </w:r>
    </w:p>
    <w:p w14:paraId="0BD0AC75">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第四十六条 办公费用包括办公用品、交通费（汽油、租车费、停车费等）、邮寄费、通讯费、计算机等办公设备及耗材、电器设施、图书资料、清洁卫生等办公所需用品。一次性购买总价超过1000元的办公用品，应当执行价格比选等采购流程。 </w:t>
      </w:r>
    </w:p>
    <w:p w14:paraId="40D93837">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第四十七条 学会及分支机构预支办公费用，应当提前按照本办法第十一条规定，事前提交用款计划并履行审批程序。 </w:t>
      </w:r>
    </w:p>
    <w:p w14:paraId="67046231">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第四十八条 报销汽油费及通讯费应当注明报销理由。报销单价为1000元以上的办公设备，应当列入学会固定资产账目，使用人办理领用手续。 </w:t>
      </w:r>
    </w:p>
    <w:p w14:paraId="2F5DE1F8">
      <w:pPr>
        <w:numPr>
          <w:ilvl w:val="0"/>
          <w:numId w:val="1"/>
        </w:num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慰问费</w:t>
      </w:r>
    </w:p>
    <w:p w14:paraId="02FB4BB2">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第四十九条 慰问费适用对象为学会的老专家、老领导以及为学会工作作出重要贡献的人员。慰问事由一般为年节家访、病患重症等。 </w:t>
      </w:r>
    </w:p>
    <w:p w14:paraId="78CE4331">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第五十条 慰问金标准原则上每次不超过2000元，慰问90岁以上老人或者重症患者可放宽至3000元。慰问品标准每次不超过500元。 </w:t>
      </w:r>
    </w:p>
    <w:p w14:paraId="0B5B556B">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第五十一条 报销慰问费需由经办人填写支出凭单，说明慰问对象、慰问事由、慰问费金额，学会发放的由学会秘书长签字；分支机构发放的由主任委员签字。 </w:t>
      </w:r>
    </w:p>
    <w:p w14:paraId="0A38A56C">
      <w:pPr>
        <w:numPr>
          <w:ilvl w:val="0"/>
          <w:numId w:val="1"/>
        </w:num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福利费</w:t>
      </w:r>
    </w:p>
    <w:p w14:paraId="23B6D671">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第五十二条 福利费开支范围为在学会上班工作人员的上下班交通费、午餐费、体检费（每人每年1500元），特殊困难补助费（确有困难需个人提出申请，由学会办公室主任审核、秘书长审批）；法定节日职工福利等。 </w:t>
      </w:r>
    </w:p>
    <w:p w14:paraId="1D5963A1">
      <w:pPr>
        <w:numPr>
          <w:ilvl w:val="0"/>
          <w:numId w:val="1"/>
        </w:num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附则</w:t>
      </w:r>
    </w:p>
    <w:p w14:paraId="4E45756D">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第五十三条 本办法各项支出标准均参照财政部对事业单位有关经费支出标准执行。如遇财政部对事业单位经费支出标准调整，参照调整后标准执行。 </w:t>
      </w:r>
    </w:p>
    <w:p w14:paraId="09407D67">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第五十四条 </w:t>
      </w:r>
      <w:r>
        <w:rPr>
          <w:rFonts w:hint="eastAsia" w:ascii="仿宋" w:hAnsi="仿宋" w:eastAsia="仿宋" w:cs="仿宋"/>
          <w:sz w:val="32"/>
          <w:szCs w:val="32"/>
          <w:lang w:val="en-US" w:eastAsia="zh-CN"/>
        </w:rPr>
        <w:t>本</w:t>
      </w:r>
      <w:r>
        <w:rPr>
          <w:rFonts w:hint="eastAsia" w:ascii="仿宋" w:hAnsi="仿宋" w:eastAsia="仿宋" w:cs="仿宋"/>
          <w:sz w:val="32"/>
          <w:szCs w:val="32"/>
        </w:rPr>
        <w:t>办法</w:t>
      </w:r>
      <w:bookmarkStart w:id="0" w:name="_GoBack"/>
      <w:bookmarkEnd w:id="0"/>
      <w:r>
        <w:rPr>
          <w:rFonts w:hint="eastAsia" w:ascii="仿宋" w:hAnsi="仿宋" w:eastAsia="仿宋" w:cs="仿宋"/>
          <w:sz w:val="32"/>
          <w:szCs w:val="32"/>
        </w:rPr>
        <w:t>自2026年9月29日中国文物学会第九届理事会第四次会议通过之日起施行。</w:t>
      </w:r>
    </w:p>
    <w:p w14:paraId="734398E2">
      <w:pPr>
        <w:snapToGrid w:val="0"/>
        <w:spacing w:line="500" w:lineRule="exact"/>
        <w:ind w:firstLine="640" w:firstLineChars="200"/>
        <w:rPr>
          <w:rFonts w:hint="eastAsia" w:ascii="仿宋" w:hAnsi="仿宋" w:eastAsia="仿宋" w:cs="仿宋"/>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11761035"/>
      <w:docPartObj>
        <w:docPartGallery w:val="AutoText"/>
      </w:docPartObj>
    </w:sdtPr>
    <w:sdtContent>
      <w:p w14:paraId="4509454A">
        <w:pPr>
          <w:pStyle w:val="2"/>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17F86261">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B82047"/>
    <w:multiLevelType w:val="singleLevel"/>
    <w:tmpl w:val="E5B82047"/>
    <w:lvl w:ilvl="0" w:tentative="0">
      <w:start w:val="1"/>
      <w:numFmt w:val="chineseCounting"/>
      <w:suff w:val="space"/>
      <w:lvlText w:val="第%1章"/>
      <w:lvlJc w:val="left"/>
      <w:rPr>
        <w:rFonts w:hint="eastAsia"/>
      </w:rPr>
    </w:lvl>
  </w:abstractNum>
  <w:abstractNum w:abstractNumId="1">
    <w:nsid w:val="650FAEED"/>
    <w:multiLevelType w:val="singleLevel"/>
    <w:tmpl w:val="650FAEED"/>
    <w:lvl w:ilvl="0" w:tentative="0">
      <w:start w:val="1"/>
      <w:numFmt w:val="chineseCounting"/>
      <w:suff w:val="space"/>
      <w:lvlText w:val="第%1条"/>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A0F"/>
    <w:rsid w:val="000F1A0F"/>
    <w:rsid w:val="00297659"/>
    <w:rsid w:val="00A3416B"/>
    <w:rsid w:val="00D106D4"/>
    <w:rsid w:val="064249C6"/>
    <w:rsid w:val="0D8633EB"/>
    <w:rsid w:val="0EE7435D"/>
    <w:rsid w:val="17966920"/>
    <w:rsid w:val="1BAE54E2"/>
    <w:rsid w:val="25783B09"/>
    <w:rsid w:val="2BA609F4"/>
    <w:rsid w:val="2BF832AE"/>
    <w:rsid w:val="2DAF5BEE"/>
    <w:rsid w:val="2F326AD7"/>
    <w:rsid w:val="30BD5FAA"/>
    <w:rsid w:val="368C35A6"/>
    <w:rsid w:val="410F0A26"/>
    <w:rsid w:val="4205587B"/>
    <w:rsid w:val="429C09DF"/>
    <w:rsid w:val="42C811FF"/>
    <w:rsid w:val="5302488E"/>
    <w:rsid w:val="56CB143B"/>
    <w:rsid w:val="59017396"/>
    <w:rsid w:val="5D8A5BAC"/>
    <w:rsid w:val="68D56375"/>
    <w:rsid w:val="6B864FC1"/>
    <w:rsid w:val="769E4A7D"/>
    <w:rsid w:val="77F3A4C7"/>
    <w:rsid w:val="7B632925"/>
    <w:rsid w:val="7D5B7B94"/>
    <w:rsid w:val="7E0806FB"/>
    <w:rsid w:val="7FEFBD51"/>
    <w:rsid w:val="9F8F6522"/>
    <w:rsid w:val="BFD36434"/>
    <w:rsid w:val="FDDFD5F9"/>
    <w:rsid w:val="FEDF59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0"/>
    <w:uiPriority w:val="99"/>
    <w:pPr>
      <w:tabs>
        <w:tab w:val="center" w:pos="4153"/>
        <w:tab w:val="right" w:pos="8306"/>
      </w:tabs>
      <w:snapToGrid w:val="0"/>
      <w:jc w:val="left"/>
    </w:pPr>
    <w:rPr>
      <w:sz w:val="18"/>
      <w:szCs w:val="18"/>
    </w:rPr>
  </w:style>
  <w:style w:type="paragraph" w:styleId="3">
    <w:name w:val="header"/>
    <w:basedOn w:val="1"/>
    <w:link w:val="9"/>
    <w:uiPriority w:val="0"/>
    <w:pP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customStyle="1" w:styleId="9">
    <w:name w:val="页眉 字符"/>
    <w:basedOn w:val="7"/>
    <w:link w:val="3"/>
    <w:uiPriority w:val="0"/>
    <w:rPr>
      <w:rFonts w:asciiTheme="minorHAnsi" w:hAnsiTheme="minorHAnsi" w:eastAsiaTheme="minorEastAsia" w:cstheme="minorBidi"/>
      <w:kern w:val="2"/>
      <w:sz w:val="18"/>
      <w:szCs w:val="18"/>
    </w:rPr>
  </w:style>
  <w:style w:type="character" w:customStyle="1" w:styleId="10">
    <w:name w:val="页脚 字符"/>
    <w:basedOn w:val="7"/>
    <w:link w:val="2"/>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5680</Words>
  <Characters>5828</Characters>
  <Lines>43</Lines>
  <Paragraphs>12</Paragraphs>
  <TotalTime>12</TotalTime>
  <ScaleCrop>false</ScaleCrop>
  <LinksUpToDate>false</LinksUpToDate>
  <CharactersWithSpaces>5949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2026-09-09T13:40:00Z</dcterms:created>
  <dc:creator>Administrator</dc:creator>
  <cp:lastModifiedBy>简忻</cp:lastModifiedBy>
  <dcterms:modified xsi:type="dcterms:W3CDTF">2026-09-29T08:46:31Z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eyJoZGlkIjoiYjQxYmZmMzc5YmI1NTU4OGUxODU4YmU1MjE3MjYzMzUiLCJ1c2VySWQiOiIzNzQ5NTI1NTIifQ==</vt:lpwstr>
  </property>
  <property fmtid="{D5CDD505-2E9C-101B-9397-08002B2CF9AE}" pid="4" name="ICV">
    <vt:lpwstr>C03C7509E3574E229FFF80E59493488F_12</vt:lpwstr>
  </property>
</Properties>
</file>